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 xml:space="preserve">Generální ředitelství pro komunikační sítě, obsah a technologie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 xml:space="preserve">Oznámení o volném pracovním místě na pozici ředitele/ředitelky pro „Digitální excelenci a vědeckou infrastrukturu“ (platová třída AD 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 xml:space="preserve">(ustanovení čl. 29 odst. 2 služebního řádu)</w:t>
      </w:r>
    </w:p>
    <w:p w14:paraId="04DC2C15" w14:textId="77777777" w:rsidR="00136457" w:rsidRDefault="00136457" w:rsidP="00136457">
      <w:pPr>
        <w:spacing w:after="240"/>
        <w:jc w:val="center"/>
        <w:rPr>
          <w:rFonts w:ascii="Times New Roman" w:hAnsi="Times New Roman"/>
        </w:rPr>
      </w:pPr>
      <w:r>
        <w:rPr>
          <w:rFonts w:ascii="Times New Roman" w:hAnsi="Times New Roman"/>
        </w:rPr>
        <w:t xml:space="preserve">COM/2023/</w:t>
      </w:r>
      <w:r>
        <w:rPr>
          <w:rFonts w:ascii="Times New Roman" w:hAnsi="Times New Roman"/>
        </w:rPr>
        <w:t xml:space="preserve">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b/>
          <w:rFonts w:ascii="Times New Roman" w:hAnsi="Times New Roman" w:cs="Times New Roman"/>
        </w:rPr>
      </w:pPr>
      <w:r>
        <w:rPr>
          <w:b/>
          <w:rFonts w:ascii="Times New Roman" w:hAnsi="Times New Roman"/>
        </w:rPr>
        <w:t xml:space="preserve">Kdo jsme</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GŘ CONNECT podporuje digitální transformaci našeho hospodářství a společnosti a navrhuje a provádí politiky potřebné k podpoře vnitřního trhu a k zajištění toho, aby byla Evropa připravena na digitální věk.</w:t>
      </w:r>
      <w:r>
        <w:rPr>
          <w:rFonts w:ascii="Times New Roman" w:hAnsi="Times New Roman"/>
        </w:rPr>
        <w:t xml:space="preserve"> </w:t>
      </w:r>
      <w:r>
        <w:rPr>
          <w:rFonts w:ascii="Times New Roman" w:hAnsi="Times New Roman"/>
        </w:rPr>
        <w:t xml:space="preserve">Provádění činností tohoto GŘ je založeno na obousměrné spolupráci se všemi zainteresovanými stranami (podniky, akademickou obcí, veřejnými organizacemi, zúčastněnými subjekty, občany).</w:t>
      </w:r>
      <w:r>
        <w:rPr>
          <w:rFonts w:ascii="Times New Roman" w:hAnsi="Times New Roman"/>
        </w:rPr>
        <w:t xml:space="preserve"> </w:t>
      </w:r>
      <w:r>
        <w:rPr>
          <w:rFonts w:ascii="Times New Roman" w:hAnsi="Times New Roman"/>
        </w:rPr>
        <w:t xml:space="preserve">GŘ rovněž aktivně podporuje průřezovou spolupráci jak uvnitř GŘ, tak v rámci celé Komise.</w:t>
      </w:r>
      <w:r>
        <w:rPr>
          <w:rFonts w:ascii="Times New Roman" w:hAnsi="Times New Roman"/>
        </w:rPr>
        <w:t xml:space="preserve"> </w:t>
      </w:r>
    </w:p>
    <w:p w14:paraId="7243E7D8" w14:textId="54A2521B"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Cílem ředitelství C „Digitální excelence a vědecká infrastruktura“ je zajistit vedoucí postavení v oblasti budoucích technologií a infrastruktur IKT, podporovat jejich další zavádění a rozsáhlé využívání a stimulovat vznik velkého počtu efektivních vědeckých, průmyslových a společenských aplikací.</w:t>
      </w:r>
      <w:r>
        <w:rPr>
          <w:rFonts w:ascii="Times New Roman" w:hAnsi="Times New Roman"/>
        </w:rPr>
        <w:t xml:space="preserve"> </w:t>
      </w:r>
      <w:r>
        <w:rPr>
          <w:rFonts w:ascii="Times New Roman" w:hAnsi="Times New Roman"/>
        </w:rPr>
        <w:t xml:space="preserve">Uvedené ředitelství odpovídá za tyto činnosti:</w:t>
      </w:r>
      <w:r>
        <w:rPr>
          <w:rFonts w:ascii="Times New Roman" w:hAnsi="Times New Roman"/>
        </w:rPr>
        <w:t xml:space="preserve"> </w:t>
      </w:r>
      <w:r>
        <w:rPr>
          <w:rFonts w:ascii="Times New Roman" w:hAnsi="Times New Roman"/>
        </w:rPr>
        <w:t xml:space="preserve">Řídí a koordinuje provádění iniciativy</w:t>
      </w:r>
      <w:r>
        <w:t xml:space="preserve"> </w:t>
      </w:r>
      <w:hyperlink r:id="rId11" w:history="1">
        <w:r>
          <w:rPr>
            <w:rStyle w:val="Hyperlink"/>
            <w:rFonts w:ascii="Times New Roman" w:hAnsi="Times New Roman"/>
          </w:rPr>
          <w:t xml:space="preserve">Cíl Země</w:t>
        </w:r>
      </w:hyperlink>
      <w:r>
        <w:rPr>
          <w:rFonts w:ascii="Times New Roman" w:hAnsi="Times New Roman"/>
        </w:rPr>
        <w:t xml:space="preserve">.</w:t>
      </w:r>
      <w:r>
        <w:rPr>
          <w:rFonts w:ascii="Times New Roman" w:hAnsi="Times New Roman"/>
        </w:rPr>
        <w:t xml:space="preserve"> </w:t>
      </w:r>
      <w:r>
        <w:rPr>
          <w:rFonts w:ascii="Times New Roman" w:hAnsi="Times New Roman"/>
        </w:rPr>
        <w:t xml:space="preserve">Pracuje rovněž na vytvoření</w:t>
      </w:r>
      <w:r>
        <w:t xml:space="preserve"> </w:t>
      </w:r>
      <w:hyperlink r:id="rId12" w:history="1">
        <w:r>
          <w:rPr>
            <w:rStyle w:val="Hyperlink"/>
            <w:rFonts w:ascii="Times New Roman" w:hAnsi="Times New Roman"/>
          </w:rPr>
          <w:t xml:space="preserve">evropského cloudu pro otevřenou vědu</w:t>
        </w:r>
      </w:hyperlink>
      <w:r>
        <w:rPr>
          <w:rFonts w:ascii="Times New Roman" w:hAnsi="Times New Roman"/>
        </w:rPr>
        <w:t xml:space="preserve"> (EOSC).</w:t>
      </w:r>
      <w:r>
        <w:rPr>
          <w:rFonts w:ascii="Times New Roman" w:hAnsi="Times New Roman"/>
        </w:rPr>
        <w:t xml:space="preserve"> </w:t>
      </w:r>
      <w:r>
        <w:rPr>
          <w:rFonts w:ascii="Times New Roman" w:hAnsi="Times New Roman"/>
        </w:rPr>
        <w:t xml:space="preserve">Ředitelství také koordinuje a sleduje vývoj a zavádění</w:t>
      </w:r>
      <w:r>
        <w:t xml:space="preserve"> </w:t>
      </w:r>
      <w:hyperlink r:id="rId13" w:history="1">
        <w:r>
          <w:rPr>
            <w:rStyle w:val="Hyperlink"/>
            <w:rFonts w:ascii="Times New Roman" w:hAnsi="Times New Roman"/>
          </w:rPr>
          <w:t xml:space="preserve">vysoce výkonné výpočetní techniky, kvantové výpočetní techniky</w:t>
        </w:r>
      </w:hyperlink>
      <w:r>
        <w:rPr>
          <w:rFonts w:ascii="Times New Roman" w:hAnsi="Times New Roman"/>
        </w:rPr>
        <w:t xml:space="preserve"> a komunikace, jakož i datové infrastruktury (mimo jiné dohlíží na společný podnik</w:t>
      </w:r>
      <w:r>
        <w:t xml:space="preserve"> </w:t>
      </w:r>
      <w:hyperlink r:id="rId14" w:history="1">
        <w:r>
          <w:rPr>
            <w:rStyle w:val="Hyperlink"/>
            <w:rFonts w:ascii="Times New Roman" w:hAnsi="Times New Roman"/>
          </w:rPr>
          <w:t xml:space="preserve">EuroHPC</w:t>
        </w:r>
      </w:hyperlink>
      <w:r>
        <w:rPr>
          <w:rFonts w:ascii="Times New Roman" w:hAnsi="Times New Roman"/>
        </w:rPr>
        <w:t xml:space="preserve"> a podporuje</w:t>
      </w:r>
      <w:r>
        <w:t xml:space="preserve"> </w:t>
      </w:r>
      <w:hyperlink r:id="rId15" w:history="1">
        <w:r>
          <w:rPr>
            <w:rStyle w:val="Hyperlink"/>
            <w:rFonts w:ascii="Times New Roman" w:hAnsi="Times New Roman"/>
          </w:rPr>
          <w:t xml:space="preserve">iniciativu EuroQCI</w:t>
        </w:r>
      </w:hyperlink>
      <w:r>
        <w:rPr>
          <w:rFonts w:ascii="Times New Roman" w:hAnsi="Times New Roman"/>
        </w:rPr>
        <w:t xml:space="preserve">).</w:t>
      </w:r>
      <w:r>
        <w:rPr>
          <w:rFonts w:ascii="Times New Roman" w:hAnsi="Times New Roman"/>
        </w:rPr>
        <w:t xml:space="preserve"> </w:t>
      </w:r>
      <w:r>
        <w:rPr>
          <w:rFonts w:ascii="Times New Roman" w:hAnsi="Times New Roman"/>
        </w:rPr>
        <w:t xml:space="preserve">Dále vyvíjí digitální dvojčata městských platforem poskytujících inteligentní digitální řešení a služby (zakotvené v hnutí living-in.eu).</w:t>
      </w:r>
      <w:r>
        <w:rPr>
          <w:rFonts w:ascii="Times New Roman" w:hAnsi="Times New Roman"/>
        </w:rPr>
        <w:t xml:space="preserve"> </w:t>
      </w:r>
      <w:r>
        <w:rPr>
          <w:rFonts w:ascii="Times New Roman" w:hAnsi="Times New Roman"/>
        </w:rPr>
        <w:t xml:space="preserve">V neposlední řadě odpovídá za </w:t>
      </w:r>
      <w:hyperlink r:id="rId16" w:history="1">
        <w:r>
          <w:rPr>
            <w:rStyle w:val="Hyperlink"/>
            <w:rFonts w:ascii="Times New Roman" w:hAnsi="Times New Roman"/>
          </w:rPr>
          <w:t xml:space="preserve">stěžejní program Budoucí a vznikající technologie (FET)</w:t>
        </w:r>
      </w:hyperlink>
      <w:r>
        <w:rPr>
          <w:rFonts w:ascii="Times New Roman" w:hAnsi="Times New Roman"/>
        </w:rPr>
        <w:t xml:space="preserve">, který zahrnuje projekt lidského mozku, projekt týkající se grafenu a kvantové technologie.</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 xml:space="preserve">Ředitelství se skládá ze čtyř oddělení, která se nacházejí v Bruselu a Lucemburku.</w:t>
      </w:r>
      <w:r>
        <w:rPr>
          <w:rFonts w:ascii="Times New Roman" w:hAnsi="Times New Roman"/>
        </w:rPr>
        <w:t xml:space="preserve"> </w:t>
      </w:r>
      <w:r>
        <w:rPr>
          <w:rFonts w:ascii="Times New Roman" w:hAnsi="Times New Roman"/>
        </w:rPr>
        <w:t xml:space="preserve">V současné době zaměstnává přibližně 70 osob a má roční rozpočet zhruba 350 milionů EUR.</w:t>
      </w:r>
      <w:r>
        <w:rPr>
          <w:rFonts w:ascii="Times New Roman" w:hAnsi="Times New Roman"/>
        </w:rPr>
        <w:t xml:space="preserve"> </w:t>
      </w:r>
      <w:r>
        <w:rPr>
          <w:rFonts w:ascii="Times New Roman" w:hAnsi="Times New Roman"/>
        </w:rPr>
        <w:t xml:space="preserve">Ředitel sídlí v Lucemburku.</w:t>
      </w:r>
    </w:p>
    <w:p w14:paraId="6BBD398A" w14:textId="77777777" w:rsidR="00516AD8" w:rsidRPr="007915CB" w:rsidRDefault="00516AD8" w:rsidP="003542EC">
      <w:pPr>
        <w:spacing w:after="240" w:line="240" w:lineRule="auto"/>
        <w:jc w:val="both"/>
        <w:rPr>
          <w:b/>
          <w:rFonts w:ascii="Times New Roman" w:hAnsi="Times New Roman" w:cs="Times New Roman"/>
        </w:rPr>
      </w:pPr>
      <w:r>
        <w:rPr>
          <w:b/>
          <w:rFonts w:ascii="Times New Roman" w:hAnsi="Times New Roman"/>
        </w:rPr>
        <w:t xml:space="preserve">Co nabízíme</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 xml:space="preserve">Mezi povinnosti ředitele patří:</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provádět analytickou činnost a formulovat strategie a politiky generálního ředitelství, pokud jde o oblast působnosti příslušného ředitelství,</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stanovit pracovní program ředitelství (cíle, výstupy, lhůty) a zajistit jeho soudržnost a soulad s celkovými cíli generálního ředitelství,</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zajišťovat účinné plánování a řízení činností ředitelství, včetně standardů kvality, sledování lhůt, průběhu práce, pokroku a plnění cílů,</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koordinovat a provádět činnosti spadající do pracovního programu jednotlivých oddělení v rámci ředitelství a zároveň zajistit jejich soudržnost a slučitelnost s politikami EU/Komise,</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zajišťovat účinné plánování, přidělování a řízení lidských zdrojů ředitelství;</w:t>
      </w:r>
      <w:r>
        <w:rPr>
          <w:rFonts w:ascii="Times New Roman" w:hAnsi="Times New Roman"/>
        </w:rPr>
        <w:t xml:space="preserve"> </w:t>
      </w:r>
      <w:r>
        <w:rPr>
          <w:rFonts w:ascii="Times New Roman" w:hAnsi="Times New Roman"/>
        </w:rPr>
        <w:t xml:space="preserve">provádět dohled nad ředitelstvím a kontrolu jeho práce, včetně analýzy/hodnocení výstupů a řízení s cílem zajistit účinné a účelné přidělování a využívání zdrojů,</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zajišťovat účinné plánování a řízení rozpočtových zdrojů v celém ředitelství a přispívat k tvorbě rozpočtové politiky a politiky řízení finančních zdrojů generálního ředitelství v celkovém politickém rámci Komise,</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být nápomocen generálnímu řediteli v organizačních záležitostech generálního ředitelství a v jeho celkovém řízení;</w:t>
      </w:r>
      <w:r>
        <w:rPr>
          <w:rFonts w:ascii="Times New Roman" w:hAnsi="Times New Roman"/>
        </w:rPr>
        <w:t xml:space="preserve"> </w:t>
      </w:r>
      <w:r>
        <w:rPr>
          <w:rFonts w:ascii="Times New Roman" w:hAnsi="Times New Roman"/>
        </w:rPr>
        <w:t xml:space="preserve">zastupovat generální ředitelství na externích i interních akcích, které jsou relevantní pro ředitelství nebo generální ředitelství, včetně účasti ředitelství v příslušných výborech a na schůzích pracovních skupin;</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navazovat a udržovat pravidelné kontakty s relevantními interními útvary Komise i externími subjekty s cílem zastupovat zájmy generálního ředitelství a být informován o aktuálním vývoji politik EU/Komise týkajících se oblasti působnosti ředitelství.</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b/>
          <w:rFonts w:ascii="Times New Roman" w:hAnsi="Times New Roman" w:cs="Times New Roman"/>
        </w:rPr>
      </w:pPr>
      <w:r>
        <w:rPr>
          <w:b/>
          <w:rFonts w:ascii="Times New Roman" w:hAnsi="Times New Roman"/>
        </w:rPr>
        <w:t xml:space="preserve">Koho hledáme (kritéria výběru)</w:t>
      </w:r>
    </w:p>
    <w:p w14:paraId="5345A8E3" w14:textId="77777777" w:rsidR="009B1143" w:rsidRPr="009B1143" w:rsidRDefault="009B1143" w:rsidP="003542EC">
      <w:pPr>
        <w:spacing w:after="240" w:line="240" w:lineRule="auto"/>
        <w:jc w:val="both"/>
        <w:rPr>
          <w:u w:val="single"/>
          <w:rFonts w:ascii="Times New Roman" w:hAnsi="Times New Roman" w:cs="Times New Roman"/>
        </w:rPr>
      </w:pPr>
      <w:r>
        <w:rPr>
          <w:u w:val="single"/>
          <w:rFonts w:ascii="Times New Roman" w:hAnsi="Times New Roman"/>
        </w:rPr>
        <w:t xml:space="preserve">Osobnostní předpoklady</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vynikající komunikační a vyjednávací dovednosti, včetně schopnosti zastupovat GŘ na nejvyšší úrovni v rámci Komise, v členských státech a na mezinárodních fórech,</w:t>
      </w:r>
      <w:r>
        <w:rPr>
          <w:rFonts w:ascii="Times New Roman" w:hAnsi="Times New Roman"/>
        </w:rPr>
        <w:t xml:space="preserve">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dobrý úsudek, schopnost koncepčního myšlení a schopnost neotřele a strategicky uvažovat.</w:t>
      </w:r>
    </w:p>
    <w:p w14:paraId="66A8F3F0" w14:textId="49E83B6C" w:rsidR="009B1143" w:rsidRPr="009B1143" w:rsidRDefault="009B1143" w:rsidP="003542EC">
      <w:pPr>
        <w:spacing w:after="240" w:line="240" w:lineRule="auto"/>
        <w:jc w:val="both"/>
        <w:rPr>
          <w:u w:val="single"/>
          <w:rFonts w:ascii="Times New Roman" w:hAnsi="Times New Roman" w:cs="Times New Roman"/>
        </w:rPr>
      </w:pPr>
      <w:r>
        <w:t xml:space="preserve"> </w:t>
      </w:r>
      <w:r>
        <w:br/>
      </w:r>
      <w:r>
        <w:rPr>
          <w:u w:val="single"/>
          <w:rFonts w:ascii="Times New Roman" w:hAnsi="Times New Roman"/>
        </w:rPr>
        <w:t xml:space="preserve">Odborné dovednosti a zkušenosti</w:t>
      </w:r>
      <w:r>
        <w:rPr>
          <w:u w:val="single"/>
          <w:rFonts w:ascii="Times New Roman" w:hAnsi="Times New Roman"/>
        </w:rPr>
        <w:t xml:space="preserve">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dobré porozumění informačním a komunikačním technologiím, pokud jde o evropské politiky výzkumu, vývoje a inovací a obecněji politiky týkající se digitální ekonomiky a společnosti,</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dobrá znalost politiky v oblasti výzkumu – výhodou by byly zkušenosti s rozsáhlými výzkumnými iniciativami a aplikacemi – a prokazatelné zkušenosti s formulováním a řízením politik, nejlépe na vysoké úrovni.</w:t>
      </w:r>
    </w:p>
    <w:p w14:paraId="3F410309" w14:textId="6D3C79DF" w:rsidR="009B1143" w:rsidRPr="009B1143" w:rsidRDefault="009B1143" w:rsidP="003542EC">
      <w:pPr>
        <w:spacing w:after="240" w:line="240" w:lineRule="auto"/>
        <w:jc w:val="both"/>
        <w:rPr>
          <w:u w:val="single"/>
          <w:rFonts w:ascii="Times New Roman" w:hAnsi="Times New Roman" w:cs="Times New Roman"/>
        </w:rPr>
      </w:pPr>
      <w:r>
        <w:t xml:space="preserve"> </w:t>
      </w:r>
      <w:r>
        <w:br/>
      </w:r>
      <w:r>
        <w:rPr>
          <w:u w:val="single"/>
          <w:rFonts w:ascii="Times New Roman" w:hAnsi="Times New Roman"/>
        </w:rPr>
        <w:t xml:space="preserve">Manažerské dovednosti</w:t>
      </w:r>
      <w:r>
        <w:rPr>
          <w:u w:val="single"/>
          <w:rFonts w:ascii="Times New Roman" w:hAnsi="Times New Roman"/>
        </w:rPr>
        <w:t xml:space="preserve">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prokazatelná praxe v oblasti řízení a výrazné vůdčí schopnosti, schopnost vést, inspirovat a motivovat ředitelství s velkými týmy a finančními zdroji,</w:t>
      </w:r>
      <w:r>
        <w:rPr>
          <w:rFonts w:ascii="Times New Roman" w:hAnsi="Times New Roman"/>
        </w:rPr>
        <w:t xml:space="preserve">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výhodou by byly zkušenosti se strategickým plánováním a řízením programů získané v oblastech, jimiž se příslušné generální ředitelství zabývá, nebo v souvisejících oblastech,</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prokazatelná schopnost kreativně a strategicky uvažovat, dokázat vytvořit jasnou představu o cílech, jichž má být dosaženo, a převést ji do praktických a realistických akčních plánů,</w:t>
      </w:r>
      <w:r>
        <w:rPr>
          <w:rFonts w:ascii="Times New Roman" w:hAnsi="Times New Roman"/>
        </w:rPr>
        <w:t xml:space="preserve"> </w:t>
      </w:r>
    </w:p>
    <w:p w14:paraId="66CCF35A" w14:textId="27B89FEF" w:rsidR="007915CB" w:rsidRPr="009B1143" w:rsidRDefault="009B1143" w:rsidP="003542EC">
      <w:pPr>
        <w:spacing w:after="240" w:line="240" w:lineRule="auto"/>
        <w:jc w:val="both"/>
        <w:rPr>
          <w:b/>
          <w:rFonts w:ascii="Times New Roman" w:hAnsi="Times New Roman" w:cs="Times New Roman"/>
        </w:rPr>
      </w:pPr>
      <w:r>
        <w:rPr>
          <w:rFonts w:ascii="Times New Roman" w:hAnsi="Times New Roman"/>
        </w:rPr>
        <w:t xml:space="preserve">– schopnost vést dynamický proces změn.</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b/>
          <w:rFonts w:ascii="Times New Roman" w:hAnsi="Times New Roman" w:cs="Times New Roman"/>
        </w:rPr>
      </w:pPr>
      <w:r>
        <w:rPr>
          <w:b/>
          <w:rFonts w:ascii="Times New Roman" w:hAnsi="Times New Roman"/>
        </w:rPr>
        <w:t xml:space="preserve">Podmínky účasti ve výběrovém řízení</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Uchazeči postoupí do fáze výběru, pokud </w:t>
      </w:r>
      <w:r>
        <w:rPr>
          <w:b/>
          <w:rFonts w:ascii="Times New Roman" w:hAnsi="Times New Roman"/>
        </w:rPr>
        <w:t xml:space="preserve">ke dni uzávěrky pro podání přihlášek</w:t>
      </w:r>
      <w:r>
        <w:rPr>
          <w:rFonts w:ascii="Times New Roman" w:hAnsi="Times New Roman"/>
        </w:rPr>
        <w:t xml:space="preserve"> splní tyto formální podmínky účasti:</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Státní příslušnost</w:t>
      </w:r>
      <w:r>
        <w:rPr>
          <w:rFonts w:ascii="Times New Roman" w:hAnsi="Times New Roman"/>
        </w:rPr>
        <w:t xml:space="preserve">:</w:t>
      </w:r>
      <w:r>
        <w:rPr>
          <w:rFonts w:ascii="Times New Roman" w:hAnsi="Times New Roman"/>
        </w:rPr>
        <w:t xml:space="preserve"> </w:t>
      </w:r>
      <w:r>
        <w:rPr>
          <w:rFonts w:ascii="Times New Roman" w:hAnsi="Times New Roman"/>
        </w:rPr>
        <w:t xml:space="preserve">uchazeči musí být občany některého z členských států Evropské unie.</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Vysokoškolské vzdělání nebo diplom</w:t>
      </w:r>
      <w:r>
        <w:rPr>
          <w:rFonts w:ascii="Times New Roman" w:hAnsi="Times New Roman"/>
        </w:rPr>
        <w:t xml:space="preserve">:</w:t>
      </w:r>
      <w:r>
        <w:rPr>
          <w:rFonts w:ascii="Times New Roman" w:hAnsi="Times New Roman"/>
        </w:rPr>
        <w:t xml:space="preserve"> </w:t>
      </w:r>
      <w:r>
        <w:rPr>
          <w:rFonts w:ascii="Times New Roman" w:hAnsi="Times New Roman"/>
        </w:rPr>
        <w:t xml:space="preserve">uchazeči musí mít:</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buď vzdělání na úrovni, která odpovídá dokončenému vysokoškolskému vzdělání, doložené diplomem, je-li obvyklá délka vysokoškolského studia nejméně čtyři roky,</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nebo vzdělání na úrovni, která odpovídá dokončenému vysokoškolskému vzdělání, doložené diplomem a odpovídající odbornou praxi v délce nejméně jednoho roku, je-li obvyklá délka vysokoškolského studia nejméně tři roky (tento jeden rok odborné praxe nelze započíst do doby trvání níže uvedené odborné praxe požadované po dokončení vysokoškolského vzdělání).</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Odborná praxe</w:t>
      </w:r>
      <w:r>
        <w:rPr>
          <w:rFonts w:ascii="Times New Roman" w:hAnsi="Times New Roman"/>
        </w:rPr>
        <w:t xml:space="preserve">:</w:t>
      </w:r>
      <w:r>
        <w:rPr>
          <w:rFonts w:ascii="Times New Roman" w:hAnsi="Times New Roman"/>
        </w:rPr>
        <w:t xml:space="preserve"> </w:t>
      </w:r>
      <w:r>
        <w:rPr>
          <w:rFonts w:ascii="Times New Roman" w:hAnsi="Times New Roman"/>
        </w:rPr>
        <w:t xml:space="preserve">uchazeči musí mít nejméně patnáct let odborné praxe získané po dokončení vysokoškolského vzdělání</w:t>
      </w:r>
      <w:r>
        <w:rPr>
          <w:rStyle w:val="FootnoteReference"/>
          <w:rFonts w:ascii="Times New Roman" w:hAnsi="Times New Roman" w:cs="Times New Roman"/>
          <w:b/>
        </w:rPr>
        <w:footnoteReference w:id="1"/>
      </w:r>
      <w:r>
        <w:rPr>
          <w:rFonts w:ascii="Times New Roman" w:hAnsi="Times New Roman"/>
        </w:rPr>
        <w:t xml:space="preserve">, a to na úrovni odpovídající výše uvedené kvalifikaci.</w:t>
      </w:r>
      <w:r>
        <w:rPr>
          <w:rFonts w:ascii="Times New Roman" w:hAnsi="Times New Roman"/>
        </w:rPr>
        <w:t xml:space="preserve">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Praxe v oblasti řízení:</w:t>
      </w:r>
      <w:r>
        <w:rPr>
          <w:u w:val="single"/>
          <w:rFonts w:ascii="Times New Roman" w:hAnsi="Times New Roman"/>
        </w:rPr>
        <w:t xml:space="preserve"> </w:t>
      </w:r>
      <w:r>
        <w:rPr>
          <w:rFonts w:ascii="Times New Roman" w:hAnsi="Times New Roman"/>
        </w:rPr>
        <w:t xml:space="preserve">nejméně pět let odborné praxe získané po dokončení vysokoškolského studia musí být získáno ve vysoké řídicí funkci</w:t>
      </w:r>
      <w:r>
        <w:rPr>
          <w:rStyle w:val="FootnoteReference"/>
          <w:rFonts w:ascii="Times New Roman" w:hAnsi="Times New Roman" w:cs="Times New Roman"/>
          <w:b/>
        </w:rPr>
        <w:footnoteReference w:id="2"/>
      </w:r>
      <w:r>
        <w:rPr>
          <w:rFonts w:ascii="Times New Roman" w:hAnsi="Times New Roman"/>
        </w:rPr>
        <w:t xml:space="preserve">.</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Jazyky</w:t>
      </w:r>
      <w:r>
        <w:rPr>
          <w:rFonts w:ascii="Times New Roman" w:hAnsi="Times New Roman"/>
        </w:rPr>
        <w:t xml:space="preserve">:</w:t>
      </w:r>
      <w:r>
        <w:rPr>
          <w:rFonts w:ascii="Times New Roman" w:hAnsi="Times New Roman"/>
        </w:rPr>
        <w:t xml:space="preserve"> </w:t>
      </w:r>
      <w:r>
        <w:rPr>
          <w:rFonts w:ascii="Times New Roman" w:hAnsi="Times New Roman"/>
        </w:rPr>
        <w:t xml:space="preserve">uchazeči musí důkladně ovládat jeden z úředních jazyků Evropské unie</w:t>
      </w:r>
      <w:r>
        <w:rPr>
          <w:rStyle w:val="FootnoteReference"/>
          <w:rFonts w:ascii="Times New Roman" w:hAnsi="Times New Roman" w:cs="Times New Roman"/>
        </w:rPr>
        <w:footnoteReference w:id="3"/>
      </w:r>
      <w:r>
        <w:rPr>
          <w:rFonts w:ascii="Times New Roman" w:hAnsi="Times New Roman"/>
        </w:rPr>
        <w:t xml:space="preserve"> a uspokojivě ovládat další z těchto úředních jazyků.</w:t>
      </w:r>
      <w:r>
        <w:rPr>
          <w:rFonts w:ascii="Times New Roman" w:hAnsi="Times New Roman"/>
        </w:rPr>
        <w:t xml:space="preserve"> </w:t>
      </w:r>
      <w:r>
        <w:rPr>
          <w:rFonts w:ascii="Times New Roman" w:hAnsi="Times New Roman"/>
        </w:rPr>
        <w:t xml:space="preserve">Výběrové komise během pohovorů ověří, zda uchazeči kritérium uspokojivé znalosti dalšího úředního jazyka EU splňují.</w:t>
      </w:r>
      <w:r>
        <w:rPr>
          <w:rFonts w:ascii="Times New Roman" w:hAnsi="Times New Roman"/>
        </w:rPr>
        <w:t xml:space="preserve"> </w:t>
      </w:r>
      <w:r>
        <w:rPr>
          <w:rFonts w:ascii="Times New Roman" w:hAnsi="Times New Roman"/>
        </w:rPr>
        <w:t xml:space="preserve">Znamená to, že pohovor (nebo jeho část) může být veden v tomto druhém jazyce.</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Věková hranice</w:t>
      </w:r>
      <w:r>
        <w:rPr>
          <w:rFonts w:ascii="Times New Roman" w:hAnsi="Times New Roman"/>
        </w:rPr>
        <w:t xml:space="preserve">:</w:t>
      </w:r>
      <w:r>
        <w:rPr>
          <w:rFonts w:ascii="Times New Roman" w:hAnsi="Times New Roman"/>
        </w:rPr>
        <w:t xml:space="preserve"> </w:t>
      </w:r>
      <w:r>
        <w:rPr>
          <w:rFonts w:ascii="Times New Roman" w:hAnsi="Times New Roman"/>
        </w:rPr>
        <w:t xml:space="preserve">věk uchazeče musí být nižší, než je řádný věk odchodu do důchodu, jenž je pro úředníky Evropské unie stanoven na konec měsíce, v němž daná osoba dosáhne věku 66 let (viz čl. 52 písm. a) služebního řádu</w:t>
      </w:r>
      <w:r>
        <w:rPr>
          <w:rStyle w:val="FootnoteReference"/>
          <w:rFonts w:ascii="Times New Roman" w:hAnsi="Times New Roman" w:cs="Times New Roman"/>
          <w:b/>
        </w:rPr>
        <w:footnoteReference w:id="4"/>
      </w:r>
      <w:r>
        <w:rPr>
          <w:rFonts w:ascii="Times New Roman" w:hAnsi="Times New Roman"/>
        </w:rPr>
        <w:t xml:space="preserve">).</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b/>
          <w:rFonts w:ascii="Times New Roman" w:hAnsi="Times New Roman" w:cs="Times New Roman"/>
        </w:rPr>
      </w:pPr>
      <w:r>
        <w:rPr>
          <w:b/>
          <w:rFonts w:ascii="Times New Roman" w:hAnsi="Times New Roman"/>
        </w:rPr>
        <w:t xml:space="preserve">Výběr a jmenování</w:t>
      </w:r>
    </w:p>
    <w:p w14:paraId="17005BFE" w14:textId="60698EA1" w:rsidR="009D3D62" w:rsidRPr="007915CB" w:rsidRDefault="009D3D62" w:rsidP="00533A8D">
      <w:pPr>
        <w:pStyle w:val="Corpsdutexte0"/>
        <w:shd w:val="clear" w:color="auto" w:fill="auto"/>
        <w:spacing w:before="0" w:after="240" w:line="240" w:lineRule="auto"/>
        <w:ind w:firstLine="0"/>
        <w:jc w:val="both"/>
        <w:rPr>
          <w:sz w:val="22"/>
          <w:szCs w:val="22"/>
          <w:rFonts w:ascii="Times New Roman" w:hAnsi="Times New Roman" w:cs="Times New Roman"/>
        </w:rPr>
      </w:pPr>
      <w:r>
        <w:rPr>
          <w:sz w:val="22"/>
          <w:rFonts w:ascii="Times New Roman" w:hAnsi="Times New Roman"/>
        </w:rPr>
        <w:t xml:space="preserve">Výběr a jmenování bude probíhat v souladu s postupy Evropské komise pro výběr a přijímání zaměstnanců (viz</w:t>
      </w:r>
      <w:r>
        <w:rPr>
          <w:sz w:val="22"/>
          <w:rFonts w:ascii="Times New Roman" w:hAnsi="Times New Roman"/>
        </w:rPr>
        <w:t xml:space="preserve"> </w:t>
      </w:r>
      <w:r>
        <w:rPr>
          <w:sz w:val="22"/>
          <w:rFonts w:ascii="Times New Roman" w:hAnsi="Times New Roman"/>
        </w:rPr>
        <w:t xml:space="preserve">dokument k politice týkající se vyšších úředníků – </w:t>
      </w:r>
      <w:r>
        <w:rPr>
          <w:sz w:val="22"/>
          <w:i/>
          <w:rFonts w:ascii="Times New Roman" w:hAnsi="Times New Roman"/>
        </w:rPr>
        <w:t xml:space="preserve">Document on Senior Officials Policy</w:t>
      </w:r>
      <w:r>
        <w:rPr>
          <w:rStyle w:val="FootnoteReference"/>
          <w:rFonts w:ascii="Times New Roman" w:hAnsi="Times New Roman" w:cs="Times New Roman"/>
          <w:b/>
          <w:bCs/>
          <w:sz w:val="22"/>
          <w:szCs w:val="22"/>
        </w:rPr>
        <w:footnoteReference w:id="5"/>
      </w:r>
      <w:r>
        <w:rPr>
          <w:sz w:val="22"/>
          <w:rFonts w:ascii="Times New Roman" w:hAnsi="Times New Roman"/>
        </w:rPr>
        <w:t xml:space="preserve">).</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 xml:space="preserve">Evropská komise zřídí pro toto výběrové řízení komisi pro předběžný výběr.</w:t>
      </w:r>
      <w:r>
        <w:rPr>
          <w:rFonts w:ascii="Times New Roman" w:hAnsi="Times New Roman"/>
        </w:rPr>
        <w:t xml:space="preserve"> </w:t>
      </w:r>
      <w:r>
        <w:rPr>
          <w:rFonts w:ascii="Times New Roman" w:hAnsi="Times New Roman"/>
        </w:rPr>
        <w:t xml:space="preserve">Komise pro předběžný výběr zanalyzuje všechny přihlášky, provede první ověření splnění podmínek účasti a na základě výše uvedených kritérií vybere uchazeče s nejlepším profilem, kteří mohou být pozváni na pohovor s touto komisí.</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Po dokončení pohovorů vypracuje komise pro předběžný výběr závěry a navrhne seznam uchazečů pro další pohovory s Poradním výborem Evropské komise pro jmenování (CCA).</w:t>
      </w:r>
      <w:r>
        <w:rPr>
          <w:rFonts w:ascii="Times New Roman" w:hAnsi="Times New Roman"/>
        </w:rPr>
        <w:t xml:space="preserve"> </w:t>
      </w:r>
      <w:r>
        <w:rPr>
          <w:rFonts w:ascii="Times New Roman" w:hAnsi="Times New Roman"/>
        </w:rPr>
        <w:t xml:space="preserve">Výbor CCA s ohledem na závěry komise pro předběžný výběr rozhodne o uchazečích, kteří budou pozváni k pohovorům.</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Uchazeči pozvaní na pohovor s CCA se zúčastní celodenních testů pro vedoucí pracovníky v hodnotícím centru („assessment centre“) vedeném externími konzultanty pro nábor nových zaměstnanců.</w:t>
      </w:r>
      <w:r>
        <w:rPr>
          <w:rFonts w:ascii="Times New Roman" w:hAnsi="Times New Roman"/>
        </w:rPr>
        <w:t xml:space="preserve"> </w:t>
      </w:r>
      <w:r>
        <w:rPr>
          <w:rFonts w:ascii="Times New Roman" w:hAnsi="Times New Roman"/>
        </w:rPr>
        <w:t xml:space="preserve">S ohledem na výsledky pohovorů a zprávu z hodnotícího centra sestaví CCA užší seznam uchazečů, jež bude pokládat za vhodné kandidáty na danou pozici.</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Uchazeči na užším seznamu CCA absolvují pohovor s příslušným členem (příslušnými členy) Komise.</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 xml:space="preserve">Po těchto pohovorech přijme Evropská komise rozhodnutí o jmenování.</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 xml:space="preserve">Vybraný uchazeč musí mít splněny veškeré zákonem stanovené povinnosti týkající se vojenské služby, předložit záruky bezúhonnosti vyžadované pro výkon dané funkce a být fyzicky schopen plnit své pracovní povinnosti.</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 xml:space="preserve">Vybraný uchazeč by měl mít nebo být s to získat platné osvědčení o bezpečnostní prověrce vydané bezpečnostním orgánem jeho státu.</w:t>
      </w:r>
      <w:r>
        <w:rPr>
          <w:rFonts w:ascii="Times New Roman" w:hAnsi="Times New Roman"/>
        </w:rPr>
        <w:t xml:space="preserve"> </w:t>
      </w:r>
      <w:r>
        <w:rPr>
          <w:rFonts w:ascii="Times New Roman" w:hAnsi="Times New Roman"/>
        </w:rPr>
        <w:t xml:space="preserve">Osobní bezpečnostní prověrka je správní rozhodnutí po dokončení bezpečnostního šetření vedeného příslušným vnitrostátním bezpečnostním orgánem v souladu s platnými vnitrostátními právními předpisy v oblasti bezpečnosti, které osvědčuje, že určité osobě může být dovolen přístup k utajovaným informacím až do stanoveného stupně utajení.</w:t>
      </w:r>
      <w:r>
        <w:rPr>
          <w:rFonts w:ascii="Times New Roman" w:hAnsi="Times New Roman"/>
        </w:rPr>
        <w:t xml:space="preserve"> </w:t>
      </w:r>
      <w:r>
        <w:rPr>
          <w:rFonts w:ascii="Times New Roman" w:hAnsi="Times New Roman"/>
        </w:rPr>
        <w:t xml:space="preserve">(Upozorňujeme, že postup nutný pro získání bezpečnostní prověrky může být zahájen pouze na žádost zaměstnavatele, nikoli na žádost jednotlivého uchazeče.)</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 xml:space="preserve">Dokud uchazeč nezíská osobní bezpečnostní prověrku daného členského státu a nebude dokončen proces udělení bezpečnostní prověrky spolu s právními předpisy vyžadovanou instruktáží provedenou ředitelstvím Evropské komise pro bezpečnost, nebude mít přístup k utajovaným informacím EU se stupněm utajení CONFIDENTIEL UE / EU CONFIDENTIAL a vyšším a nebude se moci účastnit jednání, na nichž se projednávají informace s tímto stupněm utajení.</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b/>
          <w:rFonts w:ascii="Times New Roman" w:hAnsi="Times New Roman" w:cs="Times New Roman"/>
        </w:rPr>
      </w:pPr>
      <w:r>
        <w:rPr>
          <w:b/>
          <w:rFonts w:ascii="Times New Roman" w:hAnsi="Times New Roman"/>
        </w:rPr>
        <w:t xml:space="preserve">Rovné příležitosti</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 xml:space="preserve">Evropská komise v souladu s článkem 1d služebního řádu sleduje strategický cíl dosáhnout do konce svého současného mandátu rovnosti žen a mužů na všech úrovních řízení a uplatňuje politiku rovných příležitostí podporující přihlášky, jež by mohly přispět k větší rozmanitosti, rovnosti žen a mužů a celkové zeměpisné vyváženosti.</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b/>
          <w:rFonts w:ascii="Times New Roman" w:hAnsi="Times New Roman" w:cs="Times New Roman"/>
        </w:rPr>
      </w:pPr>
      <w:r>
        <w:rPr>
          <w:b/>
          <w:rFonts w:ascii="Times New Roman" w:hAnsi="Times New Roman"/>
        </w:rPr>
        <w:t xml:space="preserve">Pracovní podmínky</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Platové a pracovní podmínky jsou stanoveny ve služebním řádu.</w:t>
      </w:r>
      <w:r>
        <w:rPr>
          <w:rFonts w:ascii="Times New Roman" w:hAnsi="Times New Roman"/>
        </w:rPr>
        <w:t xml:space="preserve">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Vybraný uchazeč bude přijat do pracovního poměru jako úředník v platové třídě AD 14.</w:t>
      </w:r>
      <w:r>
        <w:rPr>
          <w:rFonts w:ascii="Times New Roman" w:hAnsi="Times New Roman"/>
        </w:rPr>
        <w:t xml:space="preserve"> </w:t>
      </w:r>
      <w:r>
        <w:rPr>
          <w:rFonts w:ascii="Times New Roman" w:hAnsi="Times New Roman"/>
        </w:rPr>
        <w:t xml:space="preserve">V závislosti na délce své odborné praxe bude v rámci této platové třídy zařazen do stupně 1 nebo 2.</w:t>
      </w:r>
      <w:r>
        <w:rPr>
          <w:rFonts w:ascii="Times New Roman" w:hAnsi="Times New Roman"/>
        </w:rPr>
        <w:t xml:space="preserve">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 xml:space="preserve">Vybraný uchazeč by měl vzít na vědomí, že podle služebního řádu musí všichni noví zaměstnanci úspěšně absolvovat devítiměsíční zkušební dobu.</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 xml:space="preserve">Místem výkonu zaměstnání je Lucemburk.</w:t>
      </w:r>
    </w:p>
    <w:p w14:paraId="7A98DD29" w14:textId="77777777" w:rsidR="00F75D74" w:rsidRPr="007915CB" w:rsidRDefault="00F75D74" w:rsidP="00F75D74">
      <w:pPr>
        <w:spacing w:after="240" w:line="240" w:lineRule="auto"/>
        <w:jc w:val="both"/>
        <w:rPr>
          <w:b/>
          <w:rFonts w:ascii="Times New Roman" w:hAnsi="Times New Roman" w:cs="Times New Roman"/>
        </w:rPr>
      </w:pPr>
      <w:r>
        <w:rPr>
          <w:b/>
          <w:rFonts w:ascii="Times New Roman" w:hAnsi="Times New Roman"/>
        </w:rPr>
        <w:t xml:space="preserve">Nezávislost a prohlášení o zájmech</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 xml:space="preserve">Uchazeči zařazení do užšího výběru budou muset v průběhu výběrového řízení učinit prohlášení, že se zavazují jednat nezávisle ve veřejném zájmu, a dále prohlášení o veškerých zájmech, jež by mohly jejich nezávislost ohrozit.</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b/>
          <w:rFonts w:ascii="Times New Roman" w:hAnsi="Times New Roman" w:cs="Times New Roman"/>
        </w:rPr>
      </w:pPr>
      <w:r>
        <w:rPr>
          <w:b/>
          <w:rFonts w:ascii="Times New Roman" w:hAnsi="Times New Roman"/>
        </w:rPr>
        <w:t xml:space="preserve">Důležité informace pro uchazeče</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Připomínáme uchazečům, že činnost výběrových komisí má důvěrný charakter.</w:t>
      </w:r>
      <w:r>
        <w:rPr>
          <w:rFonts w:ascii="Times New Roman" w:hAnsi="Times New Roman"/>
        </w:rPr>
        <w:t xml:space="preserve"> </w:t>
      </w:r>
      <w:r>
        <w:rPr>
          <w:rFonts w:ascii="Times New Roman" w:hAnsi="Times New Roman"/>
        </w:rPr>
        <w:t xml:space="preserve">Jakýkoli přímý či nepřímý kontakt s jednotlivými členy výběrových komisí je uchazečům nebo osobám jednajícím jejich jménem zakázán.</w:t>
      </w:r>
      <w:r>
        <w:rPr>
          <w:rFonts w:ascii="Times New Roman" w:hAnsi="Times New Roman"/>
        </w:rPr>
        <w:t xml:space="preserve"> </w:t>
      </w:r>
      <w:r>
        <w:rPr>
          <w:rFonts w:ascii="Times New Roman" w:hAnsi="Times New Roman"/>
        </w:rPr>
        <w:t xml:space="preserve">Veškeré dotazy se musí zasílat sekretariátu příslušné komise.</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b/>
          <w:rFonts w:ascii="Times New Roman" w:hAnsi="Times New Roman" w:cs="Times New Roman"/>
        </w:rPr>
      </w:pPr>
      <w:r>
        <w:rPr>
          <w:b/>
          <w:rFonts w:ascii="Times New Roman" w:hAnsi="Times New Roman"/>
        </w:rPr>
        <w:t xml:space="preserve">Ochrana osobních údajů</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Evropská komise zajistí, aby byly osobní údaje uchazečů zpracovávány v souladu s nařízením Evropského parlamentu a Rady (EU) 2018/1725</w:t>
      </w:r>
      <w:r>
        <w:rPr>
          <w:rStyle w:val="FootnoteReference"/>
          <w:rFonts w:ascii="Times New Roman" w:hAnsi="Times New Roman" w:cs="Times New Roman"/>
        </w:rPr>
        <w:footnoteReference w:id="6"/>
      </w:r>
      <w:r>
        <w:rPr>
          <w:rFonts w:ascii="Times New Roman" w:hAnsi="Times New Roman"/>
        </w:rPr>
        <w:t xml:space="preserve">.</w:t>
      </w:r>
      <w:r>
        <w:rPr>
          <w:rFonts w:ascii="Times New Roman" w:hAnsi="Times New Roman"/>
        </w:rPr>
        <w:t xml:space="preserve"> </w:t>
      </w:r>
      <w:r>
        <w:rPr>
          <w:rFonts w:ascii="Times New Roman" w:hAnsi="Times New Roman"/>
        </w:rPr>
        <w:t xml:space="preserve">To se týká zejména důvěrnosti a zabezpečení těchto údajů.</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b/>
          <w:rFonts w:ascii="Times New Roman" w:hAnsi="Times New Roman" w:cs="Times New Roman"/>
        </w:rPr>
      </w:pPr>
      <w:r>
        <w:rPr>
          <w:b/>
          <w:rFonts w:ascii="Times New Roman" w:hAnsi="Times New Roman"/>
        </w:rPr>
        <w:t xml:space="preserve">Postup podání přihlášky</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Před podáním přihlášky si pečlivě zkontrolujte, zda splňujete všechny podmínky účasti (uvedené v oddíle „Podmínky účasti ve výběrovém řízení“), zejména pokud jde o požadovaný typ vzdělání, odbornou praxi ve vysoké funkci a jazykové schopnosti.</w:t>
      </w:r>
      <w:r>
        <w:rPr>
          <w:rFonts w:ascii="Times New Roman" w:hAnsi="Times New Roman"/>
        </w:rPr>
        <w:t xml:space="preserve"> </w:t>
      </w:r>
      <w:r>
        <w:rPr>
          <w:rFonts w:ascii="Times New Roman" w:hAnsi="Times New Roman"/>
        </w:rPr>
        <w:t xml:space="preserve">Uchazeči, kteří některou z podmínek účasti nesplňují, budou z výběrového řízení automaticky vyloučeni.</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Chcete-li se přihlásit, musíte se zaregistrovat přes internet na následující stránce a řídit se pokyny k jednotlivým fázím výběrového řízení:</w:t>
      </w:r>
      <w:r>
        <w:rPr>
          <w:rFonts w:ascii="Times New Roman" w:hAnsi="Times New Roman"/>
        </w:rPr>
        <w:t xml:space="preserve"> </w:t>
      </w:r>
    </w:p>
    <w:p w14:paraId="77DF5B81" w14:textId="77777777" w:rsidR="001F08A9" w:rsidRPr="007915CB" w:rsidRDefault="006309B5" w:rsidP="003542EC">
      <w:pPr>
        <w:spacing w:after="240" w:line="240" w:lineRule="auto"/>
        <w:jc w:val="both"/>
        <w:rPr>
          <w:rFonts w:ascii="Times New Roman" w:hAnsi="Times New Roman" w:cs="Times New Roman"/>
        </w:rPr>
      </w:pPr>
      <w:hyperlink r:id="rId17" w:history="1">
        <w:r>
          <w:rPr>
            <w:rStyle w:val="Hyperlink"/>
            <w:rFonts w:ascii="Times New Roman" w:hAnsi="Times New Roman"/>
          </w:rPr>
          <w:t xml:space="preserve">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Musíte mít platnou e-mailovou adresu.</w:t>
      </w:r>
      <w:r>
        <w:rPr>
          <w:rFonts w:ascii="Times New Roman" w:hAnsi="Times New Roman"/>
        </w:rPr>
        <w:t xml:space="preserve"> </w:t>
      </w:r>
      <w:r>
        <w:rPr>
          <w:rFonts w:ascii="Times New Roman" w:hAnsi="Times New Roman"/>
        </w:rPr>
        <w:t xml:space="preserve">Tato adresa bude použita pro potvrzení vaší registrace i pro kontakt s vámi v různých fázích řízení.</w:t>
      </w:r>
      <w:r>
        <w:rPr>
          <w:rFonts w:ascii="Times New Roman" w:hAnsi="Times New Roman"/>
        </w:rPr>
        <w:t xml:space="preserve"> </w:t>
      </w:r>
      <w:r>
        <w:rPr>
          <w:rFonts w:ascii="Times New Roman" w:hAnsi="Times New Roman"/>
        </w:rPr>
        <w:t xml:space="preserve">Jakoukoli změnu e-mailové adresy proto Evropské komisi oznamte.</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Ke své přihlášce přiložte životopis ve formátu PDF, nejlépe ve formátu Europass</w:t>
      </w:r>
      <w:r>
        <w:rPr>
          <w:rStyle w:val="FootnoteReference"/>
          <w:rFonts w:ascii="Times New Roman" w:hAnsi="Times New Roman" w:cs="Times New Roman"/>
        </w:rPr>
        <w:footnoteReference w:id="7"/>
      </w:r>
      <w:r>
        <w:rPr>
          <w:rFonts w:ascii="Times New Roman" w:hAnsi="Times New Roman"/>
        </w:rPr>
        <w:t xml:space="preserve">, a vyplňte online motivační dopis (maximálně 8 000 znaků).</w:t>
      </w:r>
      <w:r>
        <w:rPr>
          <w:rFonts w:ascii="Times New Roman" w:hAnsi="Times New Roman"/>
        </w:rPr>
        <w:t xml:space="preserve"> </w:t>
      </w:r>
      <w:r>
        <w:rPr>
          <w:rFonts w:ascii="Times New Roman" w:hAnsi="Times New Roman"/>
        </w:rPr>
        <w:t xml:space="preserve">Životopis a motivační dopis můžete předložit v kterémkoli úředním jazyce Evropské unie.</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Je ve vašem zájmu zajistit, aby vaše přihláška byla přesná, úplná a pravdivá.</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b/>
          <w:rFonts w:ascii="Times New Roman" w:hAnsi="Times New Roman" w:cs="Times New Roman"/>
        </w:rPr>
      </w:pPr>
      <w:r>
        <w:rPr>
          <w:rFonts w:ascii="Times New Roman" w:hAnsi="Times New Roman"/>
        </w:rPr>
        <w:t xml:space="preserve">Po dokončení online registrace obdržíte e-mail s potvrzením o zaregistrování vaší přihlášky.</w:t>
      </w:r>
      <w:r>
        <w:rPr>
          <w:rFonts w:ascii="Times New Roman" w:hAnsi="Times New Roman"/>
        </w:rPr>
        <w:t xml:space="preserve"> </w:t>
      </w:r>
      <w:r>
        <w:rPr>
          <w:b/>
          <w:rFonts w:ascii="Times New Roman" w:hAnsi="Times New Roman"/>
        </w:rPr>
        <w:t xml:space="preserve">Pokud e-mail s potvrzením neobdržíte, vaše přihláška zaregistrována nebyla!</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Upozorňujeme, že postup zpracování vaší přihlášky nelze sledovat online.</w:t>
      </w:r>
      <w:r>
        <w:rPr>
          <w:rFonts w:ascii="Times New Roman" w:hAnsi="Times New Roman"/>
        </w:rPr>
        <w:t xml:space="preserve"> </w:t>
      </w:r>
      <w:r>
        <w:rPr>
          <w:rFonts w:ascii="Times New Roman" w:hAnsi="Times New Roman"/>
        </w:rPr>
        <w:t xml:space="preserve">O stavu přihlášky vás bude informovat přímo Evropská komise.</w:t>
      </w:r>
    </w:p>
    <w:p w14:paraId="13D95A95" w14:textId="08E5FBFF" w:rsidR="001F08A9" w:rsidRPr="007915CB" w:rsidRDefault="00AF21B0" w:rsidP="003542EC">
      <w:pPr>
        <w:spacing w:after="240" w:line="240" w:lineRule="auto"/>
        <w:jc w:val="both"/>
        <w:rPr>
          <w:rFonts w:ascii="Times New Roman" w:hAnsi="Times New Roman" w:cs="Times New Roman"/>
        </w:rPr>
      </w:pPr>
      <w:r>
        <w:rPr>
          <w:b/>
          <w:rFonts w:ascii="Times New Roman" w:hAnsi="Times New Roman"/>
        </w:rPr>
        <w:t xml:space="preserve">Přihlášky zaslané e-mailem nebudou přijaty.</w:t>
      </w:r>
      <w:r>
        <w:rPr>
          <w:b/>
          <w:rFonts w:ascii="Times New Roman" w:hAnsi="Times New Roman"/>
        </w:rPr>
        <w:t xml:space="preserve"> </w:t>
      </w:r>
      <w:r>
        <w:rPr>
          <w:rFonts w:ascii="Times New Roman" w:hAnsi="Times New Roman"/>
        </w:rPr>
        <w:t xml:space="preserve">Pro vyžádání dalších informací a/nebo v případě technických problémů zašlete e-mail na adresu:</w:t>
      </w:r>
      <w:r>
        <w:rPr>
          <w:rFonts w:ascii="Times New Roman" w:hAnsi="Times New Roman"/>
        </w:rPr>
        <w:t xml:space="preserve"> </w:t>
      </w:r>
      <w:r>
        <w:t xml:space="preserve"> </w:t>
      </w:r>
      <w:r>
        <w:br/>
      </w:r>
      <w:hyperlink r:id="rId18" w:history="1">
        <w:r>
          <w:rPr>
            <w:rStyle w:val="Hyperlink"/>
            <w:rFonts w:ascii="Times New Roman" w:hAnsi="Times New Roman"/>
          </w:rPr>
          <w:t xml:space="preserve">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Za včasnou online registraci odpovídají uchazeči.</w:t>
      </w:r>
      <w:r>
        <w:rPr>
          <w:rFonts w:ascii="Times New Roman" w:hAnsi="Times New Roman"/>
        </w:rPr>
        <w:t xml:space="preserve"> </w:t>
      </w:r>
      <w:r>
        <w:rPr>
          <w:rFonts w:ascii="Times New Roman" w:hAnsi="Times New Roman"/>
        </w:rPr>
        <w:t xml:space="preserve">Důrazně vám doporučujeme, abyste přihlášení neodkládali na poslední chvíli, neboť přetížení internetu či porucha internetového připojení by mohly způsobit přerušení online registrace dříve, než ji dokončíte, čímž byste byli nuceni celý proces opakovat.</w:t>
      </w:r>
      <w:r>
        <w:rPr>
          <w:rFonts w:ascii="Times New Roman" w:hAnsi="Times New Roman"/>
        </w:rPr>
        <w:t xml:space="preserve"> </w:t>
      </w:r>
      <w:r>
        <w:rPr>
          <w:rFonts w:ascii="Times New Roman" w:hAnsi="Times New Roman"/>
        </w:rPr>
        <w:t xml:space="preserve">Po uplynutí lhůty pro registraci již nebude možné zadávat žádné údaje.</w:t>
      </w:r>
      <w:r>
        <w:rPr>
          <w:rFonts w:ascii="Times New Roman" w:hAnsi="Times New Roman"/>
        </w:rPr>
        <w:t xml:space="preserve"> </w:t>
      </w:r>
      <w:r>
        <w:rPr>
          <w:rFonts w:ascii="Times New Roman" w:hAnsi="Times New Roman"/>
        </w:rPr>
        <w:t xml:space="preserve">Opožděné registrace nebudou přijaty.</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b/>
          <w:rFonts w:ascii="Times New Roman" w:hAnsi="Times New Roman" w:cs="Times New Roman"/>
        </w:rPr>
      </w:pPr>
      <w:r>
        <w:rPr>
          <w:b/>
          <w:rFonts w:ascii="Times New Roman" w:hAnsi="Times New Roman"/>
        </w:rPr>
        <w:t xml:space="preserve">Datum uzávěrky</w:t>
      </w:r>
      <w:r>
        <w:rPr>
          <w:b/>
          <w:rFonts w:ascii="Times New Roman" w:hAnsi="Times New Roman"/>
        </w:rPr>
        <w:t xml:space="preserve">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Datum uzávěrky registrací je </w:t>
      </w:r>
      <w:r>
        <w:rPr>
          <w:b/>
          <w:rFonts w:ascii="Times New Roman" w:hAnsi="Times New Roman"/>
        </w:rPr>
        <w:t xml:space="preserve">27. listopadu 2023, 12:00 hodin (poledne) bruselského času</w:t>
      </w:r>
      <w:r>
        <w:rPr>
          <w:rFonts w:ascii="Times New Roman" w:hAnsi="Times New Roman"/>
        </w:rPr>
        <w:t xml:space="preserve">. Poté již registrace nebude možná.</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xml:space="preserve">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Odborná praxe se bere v úvahu pouze tehdy, pokud představuje skutečný pracovní vztah, který je definován jako skutečná, placená práce, již uchazeč vykonával jako zaměstnanec (na libovolný druh smlouvy) nebo poskytovatel služby.</w:t>
      </w:r>
      <w:r>
        <w:rPr>
          <w:sz w:val="16"/>
          <w:rFonts w:ascii="Times New Roman" w:hAnsi="Times New Roman"/>
        </w:rPr>
        <w:t xml:space="preserve"> </w:t>
      </w:r>
      <w:r>
        <w:rPr>
          <w:sz w:val="16"/>
          <w:rFonts w:ascii="Times New Roman" w:hAnsi="Times New Roman"/>
        </w:rPr>
        <w:t xml:space="preserve">Profesní činnost vykonávaná na částečný úvazek se započítá v poměrné výši na základě potvrzeného procenta odpracovaných hodin plného pracovního úvazku.</w:t>
      </w:r>
      <w:r>
        <w:rPr>
          <w:sz w:val="16"/>
          <w:rFonts w:ascii="Times New Roman" w:hAnsi="Times New Roman"/>
        </w:rPr>
        <w:t xml:space="preserve"> </w:t>
      </w:r>
      <w:r>
        <w:rPr>
          <w:sz w:val="16"/>
          <w:rFonts w:ascii="Times New Roman" w:hAnsi="Times New Roman"/>
        </w:rPr>
        <w:t xml:space="preserve">Mateřská dovolená / rodičovská dovolená / dovolená při adopci dítěte se zohledňuje, pokud se na ni vztahuje pracovní smlouva.</w:t>
      </w:r>
      <w:r>
        <w:rPr>
          <w:sz w:val="16"/>
          <w:rFonts w:ascii="Times New Roman" w:hAnsi="Times New Roman"/>
        </w:rPr>
        <w:t xml:space="preserve"> </w:t>
      </w:r>
      <w:r>
        <w:rPr>
          <w:sz w:val="16"/>
          <w:rFonts w:ascii="Times New Roman" w:hAnsi="Times New Roman"/>
        </w:rPr>
        <w:t xml:space="preserve">Doktorské studium se považuje za rovnocenné odborné praxi i v případě, že bylo neplacené, avšak nejdéle v trvání tří let a za předpokladu, že byl úspěšně získán titul PhD.</w:t>
      </w:r>
      <w:r>
        <w:rPr>
          <w:sz w:val="16"/>
          <w:rFonts w:ascii="Times New Roman" w:hAnsi="Times New Roman"/>
        </w:rPr>
        <w:t xml:space="preserve"> </w:t>
      </w:r>
      <w:r>
        <w:rPr>
          <w:sz w:val="16"/>
          <w:rFonts w:ascii="Times New Roman" w:hAnsi="Times New Roman"/>
        </w:rPr>
        <w:t xml:space="preserve">Každé období může být započítáno pouze jednou.</w:t>
      </w:r>
    </w:p>
  </w:footnote>
  <w:footnote w:id="2">
    <w:p w14:paraId="56EBE6D8" w14:textId="5E51D7E1" w:rsidR="003542EC" w:rsidRPr="0070492C" w:rsidRDefault="003542EC" w:rsidP="00FA7C3E">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Ve svém životopise by uchazeči měli ke všem rokům, v jejichž průběhu získali praxi v řídicí funkci, jasně uvést:</w:t>
      </w:r>
      <w:r>
        <w:rPr>
          <w:sz w:val="16"/>
          <w:rFonts w:ascii="Times New Roman" w:hAnsi="Times New Roman"/>
        </w:rPr>
        <w:t xml:space="preserve"> </w:t>
      </w:r>
      <w:r>
        <w:rPr>
          <w:sz w:val="16"/>
          <w:rFonts w:ascii="Times New Roman" w:hAnsi="Times New Roman"/>
        </w:rPr>
        <w:t xml:space="preserve">1) název zastávaných řídicích funkcí a úkoly s nimi spojené,</w:t>
      </w:r>
      <w:r>
        <w:rPr>
          <w:sz w:val="16"/>
          <w:rFonts w:ascii="Times New Roman" w:hAnsi="Times New Roman"/>
        </w:rPr>
        <w:t xml:space="preserve"> </w:t>
      </w:r>
      <w:r>
        <w:rPr>
          <w:sz w:val="16"/>
          <w:rFonts w:ascii="Times New Roman" w:hAnsi="Times New Roman"/>
        </w:rPr>
        <w:t xml:space="preserve">2) počty podřízených pracovníků v daných funkcích,</w:t>
      </w:r>
      <w:r>
        <w:rPr>
          <w:sz w:val="16"/>
          <w:rFonts w:ascii="Times New Roman" w:hAnsi="Times New Roman"/>
        </w:rPr>
        <w:t xml:space="preserve"> </w:t>
      </w:r>
      <w:r>
        <w:rPr>
          <w:sz w:val="16"/>
          <w:rFonts w:ascii="Times New Roman" w:hAnsi="Times New Roman"/>
        </w:rPr>
        <w:t xml:space="preserve">3) výši spravovaných rozpočtů,</w:t>
      </w:r>
      <w:r>
        <w:rPr>
          <w:sz w:val="16"/>
          <w:rFonts w:ascii="Times New Roman" w:hAnsi="Times New Roman"/>
        </w:rPr>
        <w:t xml:space="preserve"> </w:t>
      </w:r>
      <w:r>
        <w:rPr>
          <w:sz w:val="16"/>
          <w:rFonts w:ascii="Times New Roman" w:hAnsi="Times New Roman"/>
        </w:rPr>
        <w:t xml:space="preserve">4) počet úrovní v organizační struktuře, jež byly dané funkci nadřízeny a podřízeny,</w:t>
      </w:r>
      <w:r>
        <w:rPr>
          <w:sz w:val="16"/>
          <w:rFonts w:ascii="Times New Roman" w:hAnsi="Times New Roman"/>
        </w:rPr>
        <w:t xml:space="preserve"> </w:t>
      </w:r>
      <w:r>
        <w:rPr>
          <w:sz w:val="16"/>
          <w:rFonts w:ascii="Times New Roman" w:hAnsi="Times New Roman"/>
        </w:rPr>
        <w:t xml:space="preserve">a 5) počet pracovníků stejného postavení.</w:t>
      </w:r>
    </w:p>
  </w:footnote>
  <w:footnote w:id="3">
    <w:p w14:paraId="3118960B" w14:textId="19F0D8CF" w:rsidR="008649AA" w:rsidRPr="0070492C" w:rsidRDefault="003542EC" w:rsidP="00FA7C3E">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1" w:history="1">
        <w:r>
          <w:rPr>
            <w:rStyle w:val="Hyperlink"/>
          </w:rPr>
          <w:t xml:space="preserve">http://eur-lex.europa.eu/legal-content/CS/TXT/PDF/?uri=CELEX:01958R0001-20130701&amp;qid=1408533709461&amp;from=CS</w:t>
        </w:r>
      </w:hyperlink>
      <w:hyperlink r:id="rId2" w:history="1">
        <w:r>
          <w:rPr>
            <w:rStyle w:val="Hyperlink"/>
            <w:sz w:val="16"/>
            <w:rFonts w:ascii="Times New Roman" w:hAnsi="Times New Roman"/>
          </w:rPr>
          <w:t xml:space="preserve">https://eur-lex.europa.eu/legal-content/CS/TXT/?uri=CELEX%3A01958R0001-20130701</w:t>
        </w:r>
      </w:hyperlink>
      <w:r>
        <w:rPr>
          <w:rStyle w:val="Hyperlink"/>
          <w:sz w:val="16"/>
          <w:rFonts w:ascii="Times New Roman" w:hAnsi="Times New Roman"/>
        </w:rPr>
        <w:t xml:space="preserve"> </w:t>
      </w:r>
    </w:p>
  </w:footnote>
  <w:footnote w:id="4">
    <w:p w14:paraId="32AC9A16" w14:textId="18DF4C14" w:rsidR="000E34E6" w:rsidRPr="0070492C" w:rsidRDefault="003542EC" w:rsidP="000E34E6">
      <w:pPr>
        <w:pStyle w:val="FootnoteText"/>
        <w:ind w:left="284" w:hanging="284"/>
        <w:jc w:val="both"/>
        <w:rPr>
          <w:color w:val="0000FF" w:themeColor="hyperlink"/>
          <w:sz w:val="16"/>
          <w:szCs w:val="16"/>
          <w:u w:val="single"/>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3" w:history="1">
        <w:r>
          <w:rPr>
            <w:rStyle w:val="Hyperlink"/>
            <w:sz w:val="16"/>
            <w:rFonts w:ascii="Times New Roman" w:hAnsi="Times New Roman"/>
          </w:rPr>
          <w:t xml:space="preserve">https://eur-lex.europa.eu/legal-content/CS/TXT/?uri=CELEX%3A01962R0031-20140701</w:t>
        </w:r>
      </w:hyperlink>
      <w:r>
        <w:rPr>
          <w:rStyle w:val="Hyperlink"/>
          <w:sz w:val="16"/>
          <w:rFonts w:ascii="Times New Roman" w:hAnsi="Times New Roman"/>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4" w:anchor="documents">
        <w:r>
          <w:rPr>
            <w:rStyle w:val="Hyperlink"/>
            <w:sz w:val="16"/>
            <w:rFonts w:ascii="Times New Roman" w:hAnsi="Times New Roman"/>
          </w:rPr>
          <w:t xml:space="preserve">https://commission.europa.eu/jobs-european-commission/job-opportunities/managers-european-commission_en#documents</w:t>
        </w:r>
      </w:hyperlink>
      <w:r>
        <w:t xml:space="preserve"> </w:t>
      </w:r>
      <w:r>
        <w:rPr>
          <w:sz w:val="16"/>
          <w:rFonts w:ascii="Times New Roman" w:hAnsi="Times New Roman"/>
        </w:rPr>
        <w:t xml:space="preserve">(k dispozici je pouze anglické znění).</w:t>
      </w:r>
    </w:p>
  </w:footnote>
  <w:footnote w:id="6">
    <w:p w14:paraId="48531ABE" w14:textId="77777777" w:rsidR="00AF21B0" w:rsidRPr="004B637B" w:rsidRDefault="00AF21B0" w:rsidP="00AF21B0">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Nařízení Evropského parlamentu a Rady (EU) 2018/1725 ze dne 23. října 2018 o ochraně fyzických osob v souvislosti se zpracováním osobních údajů orgány, institucemi a jinými subjekty Unie a o volném pohybu těchto údajů a o zrušení nařízení (ES) č. 45/2001 a rozhodnutí č. 1247/2002/ES (Úř. věst. L 295, 21.11.2018, s. 39).</w:t>
      </w:r>
    </w:p>
  </w:footnote>
  <w:footnote w:id="7">
    <w:p w14:paraId="24BBB1E7" w14:textId="21736824" w:rsidR="00EC7181" w:rsidRPr="00EC7181" w:rsidRDefault="00EC7181" w:rsidP="00BE6643">
      <w:pPr>
        <w:pStyle w:val="FootnoteText"/>
        <w:ind w:left="284" w:hanging="284"/>
        <w:rPr>
          <w:sz w:val="16"/>
          <w:rFonts w:ascii="Arial" w:hAnsi="Arial" w:cs="Arial"/>
        </w:rPr>
      </w:pPr>
      <w:r>
        <w:rPr>
          <w:rStyle w:val="FootnoteReference"/>
          <w:rFonts w:ascii="Times New Roman" w:hAnsi="Times New Roman" w:cs="Times New Roman"/>
          <w:sz w:val="18"/>
          <w:szCs w:val="18"/>
        </w:rPr>
        <w:footnoteRef/>
      </w:r>
      <w:r>
        <w:rPr>
          <w:sz w:val="18"/>
          <w:rFonts w:ascii="Times New Roman" w:hAnsi="Times New Roman"/>
        </w:rPr>
        <w:t xml:space="preserve"> </w:t>
      </w:r>
      <w:r>
        <w:tab/>
      </w:r>
      <w:r>
        <w:rPr>
          <w:sz w:val="18"/>
          <w:rFonts w:ascii="Times New Roman" w:hAnsi="Times New Roman"/>
        </w:rPr>
        <w:t xml:space="preserve">Informace o tom, jak online vytvořit životopis ve formátu Europass, naleznete na adrese:</w:t>
      </w:r>
      <w:r>
        <w:rPr>
          <w:sz w:val="18"/>
          <w:rFonts w:ascii="Times New Roman" w:hAnsi="Times New Roman"/>
        </w:rPr>
        <w:t xml:space="preserve"> </w:t>
      </w:r>
      <w:hyperlink r:id="rId5" w:history="1">
        <w:r>
          <w:rPr>
            <w:rStyle w:val="Hyperlink"/>
            <w:sz w:val="18"/>
            <w:rFonts w:ascii="Times New Roman" w:hAnsi="Times New Roman"/>
          </w:rPr>
          <w:t xml:space="preserve">https://europa.eu/europass/cs/create-europass-cv</w:t>
        </w:r>
      </w:hyperlink>
      <w:r>
        <w:rPr>
          <w:sz w:val="16"/>
          <w:rFonts w:ascii="Arial" w:hAnsi="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n/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n/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n/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n/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n/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&#65279;<?xml version="1.0" encoding="UTF-8" standalone="yes"?>
<Relationships xmlns="http://schemas.openxmlformats.org/package/2006/relationships"><Relationship Id="rId3" Type="http://schemas.openxmlformats.org/officeDocument/2006/relationships/hyperlink" Target="https://eur-lex.europa.eu/legal-content/CS/TXT/?uri=CELEX%3A01962R0031-20140701" TargetMode="External"/><Relationship Id="rId2" Type="http://schemas.openxmlformats.org/officeDocument/2006/relationships/hyperlink" Target="https://eur-lex.europa.eu/legal-content/CS/TXT/?uri=CELEX%3A01958R0001-20130701" TargetMode="External"/><Relationship Id="rId1" Type="http://schemas.openxmlformats.org/officeDocument/2006/relationships/hyperlink" Target="http://eur-lex.europa.eu/legal-content/CS/TXT/PDF/?uri=CELEX:01958R0001-20130701&amp;qid=1408533709461&amp;from=CS" TargetMode="External"/><Relationship Id="rId5" Type="http://schemas.openxmlformats.org/officeDocument/2006/relationships/hyperlink" Target="https://europa.eu/europass/cs/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2.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4.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2191</Words>
  <Characters>12711</Characters>
  <Application>Microsoft Office Word</Application>
  <DocSecurity>4</DocSecurity>
  <Lines>208</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SEMERARO Maria-Rosella (HR)</cp:lastModifiedBy>
  <cp:revision>2</cp:revision>
  <cp:lastPrinted>2018-05-18T08:34:00Z</cp:lastPrinted>
  <dcterms:created xsi:type="dcterms:W3CDTF">2023-10-16T08:33:00Z</dcterms:created>
  <dcterms:modified xsi:type="dcterms:W3CDTF">2023-10-16T08:33:00Z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