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F202" w14:textId="77777777" w:rsidR="00136457" w:rsidRPr="00136457" w:rsidRDefault="00136457" w:rsidP="00136457">
      <w:pPr>
        <w:pStyle w:val="ZDGName"/>
        <w:jc w:val="center"/>
        <w:rPr>
          <w:b/>
          <w:sz w:val="22"/>
          <w:szCs w:val="22"/>
        </w:rPr>
      </w:pPr>
      <w:r>
        <w:rPr>
          <w:b/>
          <w:sz w:val="22"/>
        </w:rPr>
        <w:t xml:space="preserve">A Tartalmak, Technológiák és Kommunikációs Hálózatok Főigazgatósága (DG CNECT)</w:t>
      </w:r>
    </w:p>
    <w:p w14:paraId="34301091" w14:textId="77777777" w:rsidR="00136457" w:rsidRPr="00136457" w:rsidRDefault="00136457" w:rsidP="00136457">
      <w:pPr>
        <w:pStyle w:val="ZDGName"/>
        <w:rPr>
          <w:b/>
          <w:sz w:val="22"/>
          <w:szCs w:val="22"/>
        </w:rPr>
      </w:pPr>
    </w:p>
    <w:p w14:paraId="32F85C59" w14:textId="77777777" w:rsidR="00136457" w:rsidRDefault="00136457" w:rsidP="00136457">
      <w:pPr>
        <w:pStyle w:val="ZDGName"/>
        <w:jc w:val="center"/>
        <w:rPr>
          <w:sz w:val="22"/>
          <w:szCs w:val="22"/>
        </w:rPr>
      </w:pPr>
      <w:r>
        <w:rPr>
          <w:sz w:val="22"/>
        </w:rPr>
        <w:t xml:space="preserve">Pályázati felhívás a „Digitális kiválóság és tudományos infrastruktúra” igazgatóság igazgatói állásának betöltésére (AD 14-es besorolás)</w:t>
      </w:r>
    </w:p>
    <w:p w14:paraId="7CFB9BB8" w14:textId="77777777" w:rsidR="00136457" w:rsidRDefault="00136457" w:rsidP="00136457">
      <w:pPr>
        <w:pStyle w:val="ZDGName"/>
        <w:jc w:val="center"/>
        <w:rPr>
          <w:sz w:val="22"/>
          <w:szCs w:val="22"/>
        </w:rPr>
      </w:pPr>
    </w:p>
    <w:p w14:paraId="5B91D66E" w14:textId="77777777" w:rsidR="00136457" w:rsidRDefault="00136457" w:rsidP="00136457">
      <w:pPr>
        <w:spacing w:after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 személyzeti szabályzat 29. cikkének (2) bekezdése alapján)</w:t>
      </w:r>
    </w:p>
    <w:p w14:paraId="04DC2C15" w14:textId="77777777" w:rsidR="00136457" w:rsidRDefault="00136457" w:rsidP="00136457">
      <w:pPr>
        <w:spacing w:after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COM/2023/</w:t>
      </w:r>
      <w:r>
        <w:rPr>
          <w:rFonts w:ascii="Times New Roman" w:hAnsi="Times New Roman"/>
        </w:rPr>
        <w:t xml:space="preserve">10440</w:t>
      </w:r>
    </w:p>
    <w:p w14:paraId="7BA4D778" w14:textId="77777777" w:rsidR="008649AA" w:rsidRPr="007915CB" w:rsidRDefault="008649AA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24A227B3" w14:textId="76E649A9" w:rsidR="001F08A9" w:rsidRPr="007915CB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Magunkról</w:t>
      </w:r>
    </w:p>
    <w:p w14:paraId="7E648B60" w14:textId="77777777" w:rsidR="007915CB" w:rsidRPr="007915CB" w:rsidRDefault="007915CB" w:rsidP="007915CB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Tartalmak, Technológiák és Kommunikációs Hálózatok Főigazgatósága támogatja gazdaságunk és társadalmunk digitális transzformációját, ezenkívül kidolgozza és végrehajtja a belső piac előmozdításához szükséges szakpolitikákat, hogy felkészítse Európát a digitális korra.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főigazgatóság tevékenységeinek végrehajtása az összes érdekelt féllel (vállalkozások, tudományos körök, állami szervezetek, érdekelt felek, polgárok) folytatott kétirányú együttműködésen alapul.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főigazgatóság emellett aktívan támogatja a horizontális együttműködést a főigazgatóságon belül és a Bizottságon belül egyaránt.</w:t>
      </w:r>
      <w:r>
        <w:rPr>
          <w:rFonts w:ascii="Times New Roman" w:hAnsi="Times New Roman"/>
        </w:rPr>
        <w:t xml:space="preserve"> </w:t>
      </w:r>
    </w:p>
    <w:p w14:paraId="7243E7D8" w14:textId="54A2521B" w:rsidR="007915CB" w:rsidRPr="007915CB" w:rsidRDefault="007915CB" w:rsidP="007915CB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color w:val="000000"/>
          <w:rFonts w:ascii="Times New Roman" w:hAnsi="Times New Roman"/>
        </w:rPr>
        <w:t xml:space="preserve">A C. Igazgatóság („</w:t>
      </w:r>
      <w:r>
        <w:rPr>
          <w:color w:val="000000"/>
          <w:shd w:val="clear" w:color="auto" w:fill="FFFFFF"/>
          <w:rFonts w:ascii="Times New Roman" w:hAnsi="Times New Roman"/>
        </w:rPr>
        <w:t xml:space="preserve">Digitális kiválóság és tudományos infrastruktúra</w:t>
      </w:r>
      <w:r>
        <w:rPr>
          <w:color w:val="000000"/>
          <w:rFonts w:ascii="Times New Roman" w:hAnsi="Times New Roman"/>
        </w:rPr>
        <w:t xml:space="preserve">”)</w:t>
      </w:r>
      <w:r>
        <w:rPr>
          <w:rFonts w:ascii="Times New Roman" w:hAnsi="Times New Roman"/>
        </w:rPr>
        <w:t xml:space="preserve"> célja, hogy </w:t>
      </w:r>
      <w:r>
        <w:rPr>
          <w:color w:val="000000"/>
          <w:rFonts w:ascii="Times New Roman" w:hAnsi="Times New Roman"/>
        </w:rPr>
        <w:t xml:space="preserve">vezető szerepet biztosítson a jövőbeli IKT-technológiák és -infrastruktúrák terén, támogassa azok további kiépítését és széles körű</w:t>
      </w:r>
      <w:r>
        <w:rPr>
          <w:rFonts w:ascii="Times New Roman" w:hAnsi="Times New Roman"/>
        </w:rPr>
        <w:t xml:space="preserve"> használatát, valamint ösztönözze számos nagy hatással bíró tudományos, ipari és társadalmi alkalmazás kidolgozását.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Az igazgatóság a következő tevékenységekért felelős: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Irányítja és koordinálja az „</w:t>
      </w:r>
      <w:hyperlink r:id="rId11" w:history="1">
        <w:r>
          <w:rPr>
            <w:rStyle w:val="Hyperlink"/>
            <w:rFonts w:ascii="Times New Roman" w:hAnsi="Times New Roman"/>
          </w:rPr>
          <w:t xml:space="preserve">Irány a Föld</w:t>
        </w:r>
      </w:hyperlink>
      <w:r>
        <w:rPr>
          <w:rFonts w:ascii="Times New Roman" w:hAnsi="Times New Roman"/>
        </w:rPr>
        <w:t xml:space="preserve">” kezdeményezés végrehajtását.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Emellett az </w:t>
      </w:r>
      <w:hyperlink r:id="rId12" w:history="1">
        <w:r>
          <w:rPr>
            <w:rStyle w:val="Hyperlink"/>
            <w:rFonts w:ascii="Times New Roman" w:hAnsi="Times New Roman"/>
          </w:rPr>
          <w:t xml:space="preserve">európai nyílt tudományosadat-felhő</w:t>
        </w:r>
      </w:hyperlink>
      <w:r>
        <w:rPr>
          <w:rFonts w:ascii="Times New Roman" w:hAnsi="Times New Roman"/>
        </w:rPr>
        <w:t xml:space="preserve"> létrehozásán is dolgozik.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Az igazgatóság továbbá koordinálja és nyomon követi a </w:t>
      </w:r>
      <w:hyperlink r:id="rId13" w:history="1">
        <w:r>
          <w:rPr>
            <w:rStyle w:val="Hyperlink"/>
            <w:rFonts w:ascii="Times New Roman" w:hAnsi="Times New Roman"/>
          </w:rPr>
          <w:t xml:space="preserve">nagy teljesítményű számítástechnika, a kvantum-számítástechnika</w:t>
        </w:r>
      </w:hyperlink>
      <w:r>
        <w:rPr>
          <w:rFonts w:ascii="Times New Roman" w:hAnsi="Times New Roman"/>
        </w:rPr>
        <w:t xml:space="preserve"> és a kommunikáció, valamint az adatinfrastruktúrák fejlesztését és kiépítését (többek között a </w:t>
      </w:r>
      <w:hyperlink r:id="rId14" w:history="1">
        <w:r>
          <w:rPr>
            <w:rStyle w:val="Hyperlink"/>
            <w:rFonts w:ascii="Times New Roman" w:hAnsi="Times New Roman"/>
          </w:rPr>
          <w:t xml:space="preserve">EuroHPC</w:t>
        </w:r>
      </w:hyperlink>
      <w:r>
        <w:rPr>
          <w:rFonts w:ascii="Times New Roman" w:hAnsi="Times New Roman"/>
        </w:rPr>
        <w:t xml:space="preserve"> közös vállalkozás felügyelete és a</w:t>
      </w:r>
      <w:r>
        <w:t xml:space="preserve"> </w:t>
      </w:r>
      <w:hyperlink r:id="rId15" w:history="1">
        <w:r>
          <w:rPr>
            <w:rStyle w:val="Hyperlink"/>
            <w:rFonts w:ascii="Times New Roman" w:hAnsi="Times New Roman"/>
          </w:rPr>
          <w:t xml:space="preserve">EuroQCI kezdeményezés</w:t>
        </w:r>
      </w:hyperlink>
      <w:r>
        <w:rPr>
          <w:rFonts w:ascii="Times New Roman" w:hAnsi="Times New Roman"/>
        </w:rPr>
        <w:t xml:space="preserve"> támogatása révén).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Az igazgatóság ezenkívül városi platformok digitális ikermodelljeinek fejlesztésével is foglalkozik, amelyek intelligens digitális megoldásokat és szolgáltatásokat nyújtanak (a „living-in.eu” mozgalom keretében).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Végezetül az igazgatóság felelős a </w:t>
      </w:r>
      <w:hyperlink r:id="rId16" w:history="1">
        <w:r>
          <w:rPr>
            <w:rStyle w:val="Hyperlink"/>
            <w:rFonts w:ascii="Times New Roman" w:hAnsi="Times New Roman"/>
          </w:rPr>
          <w:t xml:space="preserve">jövőbeni és kialakulóban lévő technológiák kiemelt programjáért</w:t>
        </w:r>
      </w:hyperlink>
      <w:r>
        <w:rPr>
          <w:rFonts w:ascii="Times New Roman" w:hAnsi="Times New Roman"/>
        </w:rPr>
        <w:t xml:space="preserve"> is, és ezen belül az emberi aggyal, a grafénnel és a kvantumtechnológiával kapcsolatos projektekért.</w:t>
      </w:r>
    </w:p>
    <w:p w14:paraId="322240FB" w14:textId="77777777" w:rsidR="007915CB" w:rsidRPr="007915CB" w:rsidRDefault="007915CB" w:rsidP="007915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Az igazgatóság 4 egységből áll, amelyek székhelye Brüsszelben és Luxembourgban található.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jelenleg mintegy 70 főt foglalkoztató igazgatóság éves költségvetése körülbelül 350 millió EUR.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Az igazgató székhelye Luxembourgban található.</w:t>
      </w:r>
    </w:p>
    <w:p w14:paraId="6BBD398A" w14:textId="77777777" w:rsidR="00516AD8" w:rsidRPr="007915CB" w:rsidRDefault="00516AD8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Ajánlatunk</w:t>
      </w:r>
    </w:p>
    <w:p w14:paraId="5F27790E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Az igazgató feladatai közé a következők tartoznak:</w:t>
      </w:r>
      <w:r>
        <w:t xml:space="preserve"> </w:t>
      </w:r>
      <w:r>
        <w:br/>
      </w:r>
    </w:p>
    <w:p w14:paraId="085BFA5C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elemzések végzése, valamint stratégiák és szakpolitikák kialakítása a főigazgatóság számára az igazgatóság tevékenységi területén,</w:t>
      </w:r>
    </w:p>
    <w:p w14:paraId="4BA060F4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az igazgatóság munkaprogramjának (célkitűzések, eredmények, határidők) összeállítása és a főigazgatóság általános célkitűzéseivel való összhangjának és összeegyeztethetőségének biztosítása,</w:t>
      </w:r>
    </w:p>
    <w:p w14:paraId="62B4600F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az igazgatóság tevékenységeinek hatékony tervezése és irányítása, beleértve a minőségi elvárások biztosítását, valamint a határidők betartásának, a munkafolyamatoknak, a célkitűzések felé tett haladásnak és a célok elérésének figyelemmel kísérését,</w:t>
      </w:r>
    </w:p>
    <w:p w14:paraId="3CD5FD1C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az igazgatóságon belüli egységek munkaprogramjához tartozó tevékenységek koordinálása és végrehajtása, valamint az uniós/bizottsági politikákkal való összhangjuk és összeegyeztethetőségük biztosítása,</w:t>
      </w:r>
    </w:p>
    <w:p w14:paraId="785BF6F5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az igazgatóság emberi erőforrásainak hatékony tervezése, kiosztása és kezelése,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az igazgatóság működésének felügyelete és ellenőrzése, beleértve az eredmények és az irányítás elemzését, illetve értékelését a források eredményes és hatékony elosztása és felhasználása érdekében,</w:t>
      </w:r>
    </w:p>
    <w:p w14:paraId="7B1E0265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a költségvetési források hatékony tervezésének és irányításának biztosítása az egész igazgatóságra kiterjedően, valamint közreműködés a Bizottság általános szabályozási keretén belül a főigazgatóság költségvetésre és pénzügyi erőforrás-gazdálkodásra vonatkozó politikáinak kialakításában,</w:t>
      </w:r>
    </w:p>
    <w:p w14:paraId="494EE463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a főigazgató munkájának segítése a főigazgatóság szervezeti ügyeiben és általános irányításában,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főigazgatóság képviselete az igazgatóság vagy a főigazgatóság tevékenységéhez kapcsolódó szervezeten kívüli és belüli eseményeken, beleértve az igazgatóság részvételét a megfelelő bizottságokban és munkacsoporti üléseken,</w:t>
      </w:r>
    </w:p>
    <w:p w14:paraId="729C8201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összeköttetés létesítése és rendszeres kapcsolattartás a Bizottság megfelelő belső szolgálataival és külső szervekkel a főigazgatóság érdekeinek képviselete és az igazgatóság tevékenységéhez kapcsolódó uniós/bizottsági szakpolitikák alakulásáról való tájékozódás érdekében.</w:t>
      </w:r>
    </w:p>
    <w:p w14:paraId="4312D48A" w14:textId="77777777" w:rsidR="00791B6C" w:rsidRPr="007915CB" w:rsidRDefault="00791B6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45B53D2" w14:textId="0444B9B1" w:rsidR="00E53957" w:rsidRPr="007915CB" w:rsidRDefault="003542EC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Elvárásaink (kiválasztási kritériumok)</w:t>
      </w:r>
    </w:p>
    <w:p w14:paraId="5345A8E3" w14:textId="77777777" w:rsidR="009B1143" w:rsidRPr="009B1143" w:rsidRDefault="009B1143" w:rsidP="003542EC">
      <w:pPr>
        <w:spacing w:after="240" w:line="240" w:lineRule="auto"/>
        <w:jc w:val="both"/>
        <w:rPr>
          <w:u w:val="single"/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Személyes tulajdonságok</w:t>
      </w:r>
    </w:p>
    <w:p w14:paraId="60777D0F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kiváló kommunikációs és tárgyalási készség, beleértve a főigazgatóság legmagasabb szintű képviseletét a Bizottságon belül, a tagállamokban és a nemzetközi fórumokon,</w:t>
      </w:r>
      <w:r>
        <w:rPr>
          <w:rFonts w:ascii="Times New Roman" w:hAnsi="Times New Roman"/>
        </w:rPr>
        <w:t xml:space="preserve"> </w:t>
      </w:r>
    </w:p>
    <w:p w14:paraId="62BFFDF5" w14:textId="3C1A1CD1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józan ítélőképesség, konceptuális képesség, friss látásmód és stratégiai szemlélet.</w:t>
      </w:r>
    </w:p>
    <w:p w14:paraId="66A8F3F0" w14:textId="49E83B6C" w:rsidR="009B1143" w:rsidRPr="009B1143" w:rsidRDefault="009B1143" w:rsidP="003542EC">
      <w:pPr>
        <w:spacing w:after="240" w:line="240" w:lineRule="auto"/>
        <w:jc w:val="both"/>
        <w:rPr>
          <w:u w:val="single"/>
          <w:rFonts w:ascii="Times New Roman" w:hAnsi="Times New Roman" w:cs="Times New Roman"/>
        </w:rPr>
      </w:pPr>
      <w:r>
        <w:t xml:space="preserve"> </w:t>
      </w:r>
      <w:r>
        <w:br/>
      </w:r>
      <w:r>
        <w:rPr>
          <w:u w:val="single"/>
          <w:rFonts w:ascii="Times New Roman" w:hAnsi="Times New Roman"/>
        </w:rPr>
        <w:t xml:space="preserve">Szakértelem és szakmai tapasztalat</w:t>
      </w:r>
      <w:r>
        <w:rPr>
          <w:u w:val="single"/>
          <w:rFonts w:ascii="Times New Roman" w:hAnsi="Times New Roman"/>
        </w:rPr>
        <w:t xml:space="preserve"> </w:t>
      </w:r>
    </w:p>
    <w:p w14:paraId="63CC6B7C" w14:textId="234C3DB6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széles körű ismeretek az európai kutatási, fejlesztési és innovációs politikákhoz, tágabb értelemben pedig a digitális gazdasági és társadalompolitikához kapcsolódó információs és kommunikációs technológiákról,</w:t>
      </w:r>
    </w:p>
    <w:p w14:paraId="731BEE2D" w14:textId="5C0DAFD3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a kutatáspolitika alapos ismerete – a nagyszabású kutatáspolitikai kezdeményezések és alkalmazások terén szerzett tapasztalat előnyt jelent –, továbbá a szakpolitika kialakítása és irányítása terén, lehetőleg magas szintű pozícióban szerzett tapasztalat.</w:t>
      </w:r>
    </w:p>
    <w:p w14:paraId="3F410309" w14:textId="6D3C79DF" w:rsidR="009B1143" w:rsidRPr="009B1143" w:rsidRDefault="009B1143" w:rsidP="003542EC">
      <w:pPr>
        <w:spacing w:after="240" w:line="240" w:lineRule="auto"/>
        <w:jc w:val="both"/>
        <w:rPr>
          <w:u w:val="single"/>
          <w:rFonts w:ascii="Times New Roman" w:hAnsi="Times New Roman" w:cs="Times New Roman"/>
        </w:rPr>
      </w:pPr>
      <w:r>
        <w:t xml:space="preserve"> </w:t>
      </w:r>
      <w:r>
        <w:br/>
      </w:r>
      <w:r>
        <w:rPr>
          <w:u w:val="single"/>
          <w:rFonts w:ascii="Times New Roman" w:hAnsi="Times New Roman"/>
        </w:rPr>
        <w:t xml:space="preserve">Vezetői készségek</w:t>
      </w:r>
      <w:r>
        <w:rPr>
          <w:u w:val="single"/>
          <w:rFonts w:ascii="Times New Roman" w:hAnsi="Times New Roman"/>
        </w:rPr>
        <w:t xml:space="preserve"> </w:t>
      </w:r>
    </w:p>
    <w:p w14:paraId="7FF4F4F4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igazolt vezetői tapasztalat és kiváló vezetői készségek, képesség egy nagy csoportokból álló és jelentős pénzügyi erőforrásokkal rendelkező főigazgatóság vezetésére, ösztönzésére és motiválására,</w:t>
      </w:r>
      <w:r>
        <w:rPr>
          <w:rFonts w:ascii="Times New Roman" w:hAnsi="Times New Roman"/>
        </w:rPr>
        <w:t xml:space="preserve"> </w:t>
      </w:r>
    </w:p>
    <w:p w14:paraId="6D4BE340" w14:textId="6AF6EDB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további előnyt jelent a főigazgatóság tevékenységéhez tartozó vagy ahhoz kapcsolódó szakterületeken szerzett, stratégiai tervezéssel és programmenedzsmenttel kapcsolatos tapasztalat,</w:t>
      </w:r>
    </w:p>
    <w:p w14:paraId="12F130C2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bizonyított képesség a kreatív és stratégiai gondolkodásra, valamint ennek köszönhetően világos elképzelés az elérni kívánt célokról, és ennek alapján gyakorlatias és realisztikus cselekvési tervek kidolgozása,</w:t>
      </w:r>
      <w:r>
        <w:rPr>
          <w:rFonts w:ascii="Times New Roman" w:hAnsi="Times New Roman"/>
        </w:rPr>
        <w:t xml:space="preserve"> </w:t>
      </w:r>
    </w:p>
    <w:p w14:paraId="66CCF35A" w14:textId="27B89FEF" w:rsidR="007915CB" w:rsidRPr="009B1143" w:rsidRDefault="009B1143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 képesség egy dinamikus változási folyamat irányítására.</w:t>
      </w:r>
    </w:p>
    <w:p w14:paraId="155CE48D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58DDE128" w14:textId="269DF8C2" w:rsidR="003542EC" w:rsidRPr="007915CB" w:rsidRDefault="003542EC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A pályázóval szemben támasztott követelmények (pályázati feltételek)</w:t>
      </w:r>
    </w:p>
    <w:p w14:paraId="5313A45B" w14:textId="77777777" w:rsidR="003542EC" w:rsidRPr="007915CB" w:rsidRDefault="003542E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kiválasztási szakaszban csak az a pályázó vehet részt, aki a </w:t>
      </w:r>
      <w:r>
        <w:rPr>
          <w:b/>
          <w:rFonts w:ascii="Times New Roman" w:hAnsi="Times New Roman"/>
        </w:rPr>
        <w:t xml:space="preserve">jelentkezési határidő lejártakor</w:t>
      </w:r>
      <w:r>
        <w:rPr>
          <w:rFonts w:ascii="Times New Roman" w:hAnsi="Times New Roman"/>
        </w:rPr>
        <w:t xml:space="preserve"> megfelel a következő formai követelményeknek:</w:t>
      </w:r>
    </w:p>
    <w:p w14:paraId="33951552" w14:textId="77777777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Állampolgárság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pályázó az Európai Unió valamely tagállamának állampolgára.</w:t>
      </w:r>
    </w:p>
    <w:p w14:paraId="795FB198" w14:textId="77777777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Felsőoktatásban szerzett oklevél vagy diploma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pályázó</w:t>
      </w:r>
    </w:p>
    <w:p w14:paraId="672D0702" w14:textId="728CB5FA" w:rsidR="003542EC" w:rsidRPr="007915CB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</w:t>
      </w:r>
      <w:r>
        <w:tab/>
      </w:r>
      <w:r>
        <w:rPr>
          <w:rFonts w:ascii="Times New Roman" w:hAnsi="Times New Roman"/>
        </w:rPr>
        <w:t xml:space="preserve">vagy oklevéllel igazolt, legalább négyéves befejezett felsőoktatási tanulmányoknak megfelelő végzettséggel rendelkezik,</w:t>
      </w:r>
    </w:p>
    <w:p w14:paraId="4572BC0E" w14:textId="77777777" w:rsidR="003542EC" w:rsidRPr="007915CB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–</w:t>
      </w:r>
      <w:r>
        <w:tab/>
      </w:r>
      <w:r>
        <w:rPr>
          <w:rFonts w:ascii="Times New Roman" w:hAnsi="Times New Roman"/>
        </w:rPr>
        <w:t xml:space="preserve">vagy oklevéllel igazolt, legalább hároméves befejezett felsőoktatási tanulmányoknak megfelelő végzettséggel és legalább egyéves megfelelő szakmai tapasztalattal rendelkezik (ez az egyéves szakmai tapasztalat az alább megkövetelt, a végzettség megszerzését követő szakmai tapasztalat éveinek számába nem számítható bele).</w:t>
      </w:r>
    </w:p>
    <w:p w14:paraId="4922525F" w14:textId="7B63113F" w:rsidR="003C4E2A" w:rsidRPr="007915CB" w:rsidRDefault="003542EC" w:rsidP="003C4E2A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Szakmai tapasztalat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pályázó legalább 15 éves, a fenti végzettség megszerzését követően szerzett, annak megfelelő szakmai tapasztalattal rendelkezik</w:t>
      </w:r>
      <w:r>
        <w:rPr>
          <w:rStyle w:val="FootnoteReference"/>
          <w:rFonts w:ascii="Times New Roman" w:hAnsi="Times New Roman" w:cs="Times New Roman"/>
          <w:b/>
        </w:rPr>
        <w:footnoteReference w:id="1"/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  <w:t xml:space="preserve"> </w:t>
      </w:r>
    </w:p>
    <w:p w14:paraId="28AAED6B" w14:textId="18D2EED6" w:rsidR="003542EC" w:rsidRPr="007915CB" w:rsidRDefault="003542EC" w:rsidP="007C23AE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Vezetői tapasztalat:</w:t>
      </w:r>
      <w:r>
        <w:rPr>
          <w:u w:val="single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pályázó az említett, a fenti végzettség megszerzését követően szerzett szakmai tapasztalatból legalább öt évet felső vezetői munkakörben szerzett</w:t>
      </w:r>
      <w:r>
        <w:rPr>
          <w:rStyle w:val="FootnoteReference"/>
          <w:rFonts w:ascii="Times New Roman" w:hAnsi="Times New Roman" w:cs="Times New Roman"/>
          <w:b/>
        </w:rPr>
        <w:footnoteReference w:id="2"/>
      </w:r>
      <w:r>
        <w:rPr>
          <w:rFonts w:ascii="Times New Roman" w:hAnsi="Times New Roman"/>
        </w:rPr>
        <w:t xml:space="preserve">.</w:t>
      </w:r>
    </w:p>
    <w:p w14:paraId="4062D7D2" w14:textId="77777777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Nyelvismeret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pályázó az Európai Unió egyik hivatalos nyelvét</w:t>
      </w:r>
      <w:r>
        <w:rPr>
          <w:rStyle w:val="FootnoteReference"/>
          <w:rFonts w:ascii="Times New Roman" w:hAnsi="Times New Roman" w:cs="Times New Roman"/>
        </w:rPr>
        <w:footnoteReference w:id="3"/>
      </w:r>
      <w:r>
        <w:rPr>
          <w:rFonts w:ascii="Times New Roman" w:hAnsi="Times New Roman"/>
        </w:rPr>
        <w:t xml:space="preserve"> magas szinten, legalább egy további hivatalos nyelvét pedig kielégítő szinten ismeri.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kiválasztási bizottság az interjú(k) során ellenőrzi, hogy a pályázók eleget tesznek-e a másik hivatalos uniós nyelv kielégítő szintű ismeretére vonatkozó követelménynek.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 célból az interjú (egy része) esetlegesen ezen a másik nyelven zajlik.</w:t>
      </w:r>
    </w:p>
    <w:p w14:paraId="2AFE64BD" w14:textId="6B0093A6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Korhatár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pályázó nem töltötte még be a rendes nyugdíjkorhatárt, amely az Európai Unió tisztviselői esetében azon hónap utolsó napja, amely során az érintett a 66. életévét betölti (lásd a személyzeti szabályzat</w:t>
      </w:r>
      <w:r>
        <w:rPr>
          <w:rStyle w:val="FootnoteReference"/>
          <w:rFonts w:ascii="Times New Roman" w:hAnsi="Times New Roman" w:cs="Times New Roman"/>
          <w:b/>
        </w:rPr>
        <w:footnoteReference w:id="4"/>
      </w:r>
      <w:r>
        <w:rPr>
          <w:rFonts w:ascii="Times New Roman" w:hAnsi="Times New Roman"/>
        </w:rPr>
        <w:t xml:space="preserve"> 52. cikkének a) pontját).</w:t>
      </w:r>
    </w:p>
    <w:p w14:paraId="3FFA4508" w14:textId="77777777" w:rsidR="002F0575" w:rsidRPr="007915CB" w:rsidRDefault="002F0575" w:rsidP="00081B3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7F370E9B" w14:textId="28BDFE18" w:rsidR="001F08A9" w:rsidRPr="007915CB" w:rsidRDefault="001F08A9" w:rsidP="00840D2D">
      <w:pPr>
        <w:tabs>
          <w:tab w:val="left" w:pos="3215"/>
        </w:tabs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Kiválasztás és kinevezés</w:t>
      </w:r>
    </w:p>
    <w:p w14:paraId="17005BFE" w14:textId="60698EA1" w:rsidR="009D3D62" w:rsidRPr="007915CB" w:rsidRDefault="009D3D62" w:rsidP="00533A8D">
      <w:pPr>
        <w:pStyle w:val="Corpsdutexte0"/>
        <w:shd w:val="clear" w:color="auto" w:fill="auto"/>
        <w:spacing w:before="0" w:after="240" w:line="240" w:lineRule="auto"/>
        <w:ind w:firstLine="0"/>
        <w:jc w:val="both"/>
        <w:rPr>
          <w:sz w:val="22"/>
          <w:szCs w:val="22"/>
          <w:rFonts w:ascii="Times New Roman" w:hAnsi="Times New Roman" w:cs="Times New Roman"/>
        </w:rPr>
      </w:pPr>
      <w:r>
        <w:rPr>
          <w:sz w:val="22"/>
          <w:rFonts w:ascii="Times New Roman" w:hAnsi="Times New Roman"/>
        </w:rPr>
        <w:t xml:space="preserve">A vezetőt az Európai Bizottság választja és nevezi ki saját kiválasztási és felvételi eljárásai szerint (lásd a felső vezetők alkalmazási politikájára vonatkozó összefoglaló dokumentumot:</w:t>
      </w:r>
      <w:r>
        <w:rPr>
          <w:sz w:val="22"/>
          <w:rFonts w:ascii="Times New Roman" w:hAnsi="Times New Roman"/>
        </w:rPr>
        <w:t xml:space="preserve"> </w:t>
      </w:r>
      <w:r>
        <w:rPr>
          <w:sz w:val="22"/>
          <w:rFonts w:ascii="Times New Roman" w:hAnsi="Times New Roman"/>
        </w:rPr>
        <w:t xml:space="preserve">Document on Senior Officials Policy</w:t>
      </w:r>
      <w:r>
        <w:rPr>
          <w:rStyle w:val="FootnoteReference"/>
          <w:rFonts w:ascii="Times New Roman" w:hAnsi="Times New Roman" w:cs="Times New Roman"/>
          <w:b/>
          <w:bCs/>
          <w:sz w:val="22"/>
          <w:szCs w:val="22"/>
        </w:rPr>
        <w:footnoteReference w:id="5"/>
      </w:r>
      <w:r>
        <w:rPr>
          <w:sz w:val="22"/>
          <w:rFonts w:ascii="Times New Roman" w:hAnsi="Times New Roman"/>
        </w:rPr>
        <w:t xml:space="preserve">).</w:t>
      </w:r>
    </w:p>
    <w:p w14:paraId="52025CED" w14:textId="77777777" w:rsidR="001F08A9" w:rsidRPr="007915CB" w:rsidRDefault="0033593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kiválasztási eljárás keretében az Európai Bizottság előválogató bizottságot hoz létre.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Ez a bizottság megvizsgálja a benyújtott pályázatokat, elvégzi a pályázati feltételek teljesülésének előzetes ellenőrzését, és kiválasztja a fentiekben ismertetett kiválasztási kritériumoknak leginkább megfelelő pályázókat, akik az előválogató bizottsággal folytatandó interjúra kaphatnak meghívást.</w:t>
      </w:r>
    </w:p>
    <w:p w14:paraId="3FB3BF72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Az interjúkat követően az előválogató bizottság kialakítja a véleményét, és javaslatot tesz azon pályázók listájára, akik további interjúkon vehetnek részt az Európai Bizottság kinevezési tanácsadó bizottságával.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kinevezési tanácsadó bizottság az előválogató bizottság véleményét figyelembe véve határoz arról, hogy erre az interjúra mely pályázók kapnak meghívást.</w:t>
      </w:r>
    </w:p>
    <w:p w14:paraId="6DC45FF6" w14:textId="619522C8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kinevezési tanácsadó bizottsággal folytatandó interjúra meghívott pályázók külső személyzeti felvételi tanácsadók által szervezett egész napos vezetői értékelőközpontban (assessment centre) lebonyolított vizsgákon vesznek részt.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Az interjú és az értékelőközpontról készült jelentés eredményei alapján a kinevezési tanácsadó bizottság összeállítja azon előválogatott jelöltek listáját, akik a megítélése szerint alkalmasak a munkakör betöltésére.</w:t>
      </w:r>
    </w:p>
    <w:p w14:paraId="71AE580B" w14:textId="77777777" w:rsidR="00E55604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kinevezési tanácsadó bizottság által kiválasztott pályázókat ezután a Bizottság (több) illetékes tagja hallgatja meg.</w:t>
      </w:r>
    </w:p>
    <w:p w14:paraId="6D87D0F9" w14:textId="77777777" w:rsidR="001F08A9" w:rsidRPr="007915CB" w:rsidRDefault="001F08A9" w:rsidP="00533A8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Az interjúkat követően az Európai Bizottság döntést hoz a kinevezésről.</w:t>
      </w:r>
    </w:p>
    <w:p w14:paraId="0E68D3DA" w14:textId="69A5DCB1" w:rsidR="00DB7D3C" w:rsidRPr="007915CB" w:rsidRDefault="00DB7D3C" w:rsidP="00DB7D3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kiválasztott pályázónak a katonai szolgálatra vonatkozó jogszabályokban előírt kötelezettségeinek maradéktalanul eleget kell tennie, meg kell felelnie a feladatainak ellátásához szükséges erkölcsi követelményeknek, és fizikailag alkalmasnak kell lennie feladatai ellátására.</w:t>
      </w:r>
    </w:p>
    <w:p w14:paraId="6693FB2E" w14:textId="77777777" w:rsidR="00DB7D3C" w:rsidRPr="007915CB" w:rsidRDefault="00DB7D3C" w:rsidP="00DB7D3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kiválasztott pályázónak tagállama nemzeti biztonsági hatóságától származó érvényes biztonsági tanúsítványról szóló igazolással kell rendelkeznie, vagy módjában kell, hogy álljon annak megszerzése.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személyi biztonsági tanúsítvány olyan közigazgatási határozat, amelyet az érintett személy illetékes nemzeti biztonsági hatósága által a vonatkozó nemzeti biztonsági jogszabályoknak és rendelkezéseknek megfelelően elvégzett biztonsági ellenőrzést követően adnak ki, és amely igazolja, hogy az illető hozzáférhet meghatározott szintű minősített adatokhoz.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(Felhívjuk a figyelmet arra, hogy a biztonsági tanúsítvány megszerzéséhez szükséges eljárást csak a munkáltató kezdeményeztetheti, az adott pályázó nem).</w:t>
      </w:r>
    </w:p>
    <w:p w14:paraId="5617FB43" w14:textId="422DAFF0" w:rsidR="002F0575" w:rsidRPr="007915CB" w:rsidRDefault="002F0575" w:rsidP="00533A8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jelölt mindaddig nem férhet hozzá a CONFIDENTIEL UE/EU CONFIDENTIAL vagy magasabb szintű EU-minősített adatokhoz, és nem vehet részt az ilyen EU-minősített adatokat megvitató üléseken, amíg az érintett tagállam meg nem adja a személyi biztonsági tanúsítványt, és amíg a biztonsági ellenőrzési eljárás le nem zárul az Európai Bizottság Biztonsági Igazgatóságától származó, jogilag előírt tájékoztatással.</w:t>
      </w:r>
    </w:p>
    <w:p w14:paraId="6A87DB92" w14:textId="4B224480" w:rsidR="00081B31" w:rsidRPr="007915CB" w:rsidRDefault="00081B31" w:rsidP="00F14E9D">
      <w:pPr>
        <w:tabs>
          <w:tab w:val="left" w:pos="1025"/>
        </w:tabs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78FF5C75" w14:textId="77777777" w:rsidR="006B1671" w:rsidRPr="007915CB" w:rsidRDefault="006B1671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Esélyegyenlőség</w:t>
      </w:r>
    </w:p>
    <w:p w14:paraId="778AEE56" w14:textId="6878FA06" w:rsidR="006B1671" w:rsidRPr="007915CB" w:rsidRDefault="00DB7D3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személyzeti szabályzat 1d. cikkével összhangban a Bizottság stratégiai célkitűzése, hogy jelenlegi megbízatásának végéig valamennyi vezetői szinten megvalósuljon a nemek közötti egyenlőség, és olyan esélyegyenlőségi politikát alkalmaz, amely ösztönzi az olyan pályázatokat, amelyek hozzájárulhatnak a nagyobb sokszínűséghez, a nemek közötti egyenlőséghez és az általános földrajzi egyensúlyhoz.</w:t>
      </w:r>
    </w:p>
    <w:p w14:paraId="27E64092" w14:textId="77777777" w:rsidR="006B1671" w:rsidRPr="007915CB" w:rsidRDefault="006B1671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4747E719" w14:textId="7DA3A31B" w:rsidR="006B1671" w:rsidRPr="007915CB" w:rsidRDefault="006B1671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Alkalmazási feltételek</w:t>
      </w:r>
    </w:p>
    <w:p w14:paraId="2C797D8E" w14:textId="5181DE39" w:rsidR="001C1F92" w:rsidRPr="007915CB" w:rsidRDefault="001C1F92" w:rsidP="001C1F92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javadalmazás és az alkalmazási feltételek tekintetében a személyzeti szabályzat rendelkezései az irányadók.</w:t>
      </w:r>
      <w:r>
        <w:rPr>
          <w:rFonts w:ascii="Times New Roman" w:hAnsi="Times New Roman"/>
        </w:rPr>
        <w:t xml:space="preserve"> </w:t>
      </w:r>
    </w:p>
    <w:p w14:paraId="4BD27166" w14:textId="6E51C229" w:rsidR="00F75D74" w:rsidRPr="007915CB" w:rsidRDefault="00F75D74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sikeres pályázót AD 14-es besorolási fokozatú tisztviselőként alkalmazzák.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Szakmai tapasztalatának hosszától függően a besorolási fokozaton belül az 1. vagy a 2. fizetési fokozatba sorolják be.</w:t>
      </w:r>
      <w:r>
        <w:rPr>
          <w:rFonts w:ascii="Times New Roman" w:hAnsi="Times New Roman"/>
        </w:rPr>
        <w:t xml:space="preserve"> </w:t>
      </w:r>
    </w:p>
    <w:p w14:paraId="63553476" w14:textId="772454AD" w:rsidR="001F08A9" w:rsidRPr="007915CB" w:rsidRDefault="00840D2D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Felhívjuk a kiválasztott pályázók figyelmét, hogy a személyzeti szabályzat értelmében valamennyi újonnan felvett munkatárs kilenc hónapos próbaidő letöltésére köteles.</w:t>
      </w:r>
    </w:p>
    <w:p w14:paraId="56CA8DF9" w14:textId="144EB24F" w:rsidR="001F08A9" w:rsidRPr="007915CB" w:rsidRDefault="001C1F9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munkavégzés helye Luxembourg.</w:t>
      </w:r>
    </w:p>
    <w:p w14:paraId="7A98DD29" w14:textId="77777777" w:rsidR="00F75D74" w:rsidRPr="007915CB" w:rsidRDefault="00F75D74" w:rsidP="00F75D74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Függetlenség és érdekeltségi nyilatkozat</w:t>
      </w:r>
    </w:p>
    <w:p w14:paraId="727853A2" w14:textId="77777777" w:rsidR="00136457" w:rsidRDefault="00136457" w:rsidP="00136457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kiválasztási eljárás során az előválogatott pályázónak nyilatkozatban kell vállalnia, hogy feladatai ellátása során függetlenül, kizárólag a köz érdekében jár el, és nyilatkoznia kell a függetlenségét esetleg befolyásoló bármely érdekeltségéről.</w:t>
      </w:r>
    </w:p>
    <w:p w14:paraId="47F98F1B" w14:textId="51ECCD7D" w:rsidR="00717779" w:rsidRPr="007915CB" w:rsidRDefault="0071777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25AEF488" w14:textId="77777777" w:rsidR="00AF21B0" w:rsidRPr="007915CB" w:rsidRDefault="00AF21B0" w:rsidP="00AF21B0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Fontos tudnivaló a pályázók számára</w:t>
      </w:r>
    </w:p>
    <w:p w14:paraId="43E7DC53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Felhívjuk a pályázók figyelmét, hogy a kiválasztási bizottságok munkája bizalmas.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bizottságok tagjaival sem a pályázók, sem a nevükben eljáró más személyek nem léphetnek közvetlenül vagy közvetve kapcsolatba.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Minden megkeresést a megfelelő bizottság titkárságának kell címezni.</w:t>
      </w:r>
    </w:p>
    <w:p w14:paraId="30FC2A9A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54FB369A" w14:textId="77777777" w:rsidR="00AF21B0" w:rsidRPr="007915CB" w:rsidRDefault="00AF21B0" w:rsidP="00AF21B0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A személyes adatok védelme</w:t>
      </w:r>
    </w:p>
    <w:p w14:paraId="446A97EC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Bizottság gondoskodik arról, hogy a pályázók személyes adatait az (EU) 2018/1725 európai parlamenti és tanácsi rendeletnek</w:t>
      </w:r>
      <w:r>
        <w:rPr>
          <w:rStyle w:val="FootnoteReference"/>
          <w:rFonts w:ascii="Times New Roman" w:hAnsi="Times New Roman" w:cs="Times New Roman"/>
        </w:rPr>
        <w:footnoteReference w:id="6"/>
      </w:r>
      <w:r>
        <w:rPr>
          <w:rFonts w:ascii="Times New Roman" w:hAnsi="Times New Roman"/>
        </w:rPr>
        <w:t xml:space="preserve"> megfelelően kezeljék.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Ez különösen vonatkozik az ilyen adatok bizalmas jellegére és biztonságára.</w:t>
      </w:r>
    </w:p>
    <w:p w14:paraId="0494154C" w14:textId="77777777" w:rsidR="00AF21B0" w:rsidRPr="007915CB" w:rsidRDefault="00AF21B0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4BF3DA5F" w14:textId="77777777" w:rsidR="001F08A9" w:rsidRPr="007915CB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Jelentkezési eljárás</w:t>
      </w:r>
    </w:p>
    <w:p w14:paraId="650D4700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Pályázatának benyújtása előtt gondosan ellenőrizze, hogy valóban megfelel-e valamennyi pályázati feltételnek („A pályázóval szemben támasztott követelmények”), különös tekintettel a megkövetelt oklevélre és magas szintű szakmai tapasztalatra, valamint a nyelvismeretre.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Azt a pályázót, aki valamelyik pályázati feltételnek nem felel meg, a kiválasztási eljárásból automatikusan kizárjuk.</w:t>
      </w:r>
    </w:p>
    <w:p w14:paraId="4969B8B2" w14:textId="77777777" w:rsidR="005927E6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Amennyiben jelentkezni kíván, regisztráljon az alábbi internetes oldalon, és kövesse az eljárás egyes szakaszaira vonatkozó utasításokat:</w:t>
      </w:r>
      <w:r>
        <w:rPr>
          <w:rFonts w:ascii="Times New Roman" w:hAnsi="Times New Roman"/>
        </w:rPr>
        <w:t xml:space="preserve"> </w:t>
      </w:r>
    </w:p>
    <w:p w14:paraId="77DF5B81" w14:textId="77777777" w:rsidR="001F08A9" w:rsidRPr="007915CB" w:rsidRDefault="006309B5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hyperlink r:id="rId17" w:history="1">
        <w:r>
          <w:rPr>
            <w:rStyle w:val="Hyperlink"/>
            <w:rFonts w:ascii="Times New Roman" w:hAnsi="Times New Roman"/>
          </w:rPr>
          <w:t xml:space="preserve">https://ec.europa.eu/dgs/human-resources/seniormanagementvacancies/</w:t>
        </w:r>
      </w:hyperlink>
    </w:p>
    <w:p w14:paraId="4EC651B5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Mindenképpen rendelkeznie kell érvényes e-mail-címmel.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Ennek segítségével igazoljuk vissza regisztrációját, és ezen tartjuk Önnel a kapcsolatot az eljárás különböző szakaszai során.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Ebből következően e-mail-címének esetleges későbbi változásairól értesítenie kell majd az Európai Bizottságot.</w:t>
      </w:r>
    </w:p>
    <w:p w14:paraId="293971AF" w14:textId="35C0D6FF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pályázónak a jelentkezés részeként – a lehetőleg Europass önéletrajzi formátumban elkészített – önéletrajzát</w:t>
      </w:r>
      <w:r>
        <w:rPr>
          <w:rStyle w:val="FootnoteReference"/>
          <w:rFonts w:ascii="Times New Roman" w:hAnsi="Times New Roman" w:cs="Times New Roman"/>
        </w:rPr>
        <w:footnoteReference w:id="7"/>
      </w:r>
      <w:r>
        <w:rPr>
          <w:rFonts w:ascii="Times New Roman" w:hAnsi="Times New Roman"/>
        </w:rPr>
        <w:t xml:space="preserve"> PDF formátumban fel kell töltenie, továbbá (legfeljebb 8 000 karakter terjedelemben) online motivációs levelet kell írnia.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Önéletrajzát és motivációs levelét az Európai Unió bármely hivatalos nyelvén benyújthatja.</w:t>
      </w:r>
    </w:p>
    <w:p w14:paraId="41D36D14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pályázó érdeke, hogy jelentkezése pontos, alapos és valósághű legyen.</w:t>
      </w:r>
    </w:p>
    <w:p w14:paraId="4204BBD2" w14:textId="77777777" w:rsidR="00AF21B0" w:rsidRPr="007915CB" w:rsidRDefault="00AF21B0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1BCB13C1" w14:textId="77777777" w:rsidR="001F08A9" w:rsidRPr="007915CB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Az internetes regisztráció befejeztével a pályázó elektronikus levélben kap visszaigazolást jelentkezésének regisztrálásáról.</w:t>
      </w:r>
      <w:r>
        <w:rPr>
          <w:rFonts w:ascii="Times New Roman" w:hAnsi="Times New Roman"/>
        </w:rPr>
        <w:t xml:space="preserve"> </w:t>
      </w:r>
      <w:r>
        <w:rPr>
          <w:b/>
          <w:rFonts w:ascii="Times New Roman" w:hAnsi="Times New Roman"/>
        </w:rPr>
        <w:t xml:space="preserve">Amennyiben nem kap visszaigazoló e-mailt, ez azt jelenti, hogy jelentkezését nem regisztráltuk!</w:t>
      </w:r>
    </w:p>
    <w:p w14:paraId="58C18A09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Felhívjuk figyelmét, hogy a pályázat folyamatának online nyomon követésére nincs lehetőség.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jelentkezését érintő ügyekben az Európai Bizottság közvetlenül fogja Önnel felvenni a kapcsolatot.</w:t>
      </w:r>
    </w:p>
    <w:p w14:paraId="13D95A95" w14:textId="08E5FBFF" w:rsidR="001F08A9" w:rsidRPr="007915CB" w:rsidRDefault="00AF21B0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Az e-mailben elküldött pályázatokat nem fogadjuk el.</w:t>
      </w:r>
      <w:r>
        <w:rPr>
          <w:b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Amennyiben további információra van szüksége, illetve technikai problémával szembesül, kérjük, jelezze a következő e-mail-címen:</w:t>
      </w:r>
      <w:r>
        <w:rPr>
          <w:rFonts w:ascii="Times New Roman" w:hAnsi="Times New Roman"/>
        </w:rPr>
        <w:t xml:space="preserve"> </w:t>
      </w:r>
      <w:r>
        <w:t xml:space="preserve"> </w:t>
      </w:r>
      <w:r>
        <w:br/>
      </w:r>
      <w:hyperlink r:id="rId18" w:history="1">
        <w:r>
          <w:rPr>
            <w:rStyle w:val="Hyperlink"/>
            <w:rFonts w:ascii="Times New Roman" w:hAnsi="Times New Roman"/>
          </w:rPr>
          <w:t xml:space="preserve">HR-MANAGEMENT-ONLINE@ec.europa.eu</w:t>
        </w:r>
      </w:hyperlink>
    </w:p>
    <w:p w14:paraId="4E8FB494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Az elektronikus regisztráció határidőn belüli elvégzéséért a pályázót terheli a felelősség.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Nyomatékosan javasoljuk, hogy a jelentkezéssel ne várjon az utolsó napokig, mivel a hálózat esetleges túlterheltsége vagy az internetkapcsolat meghibásodása miatt előfordulhat, hogy az elektronikus regisztráció folyamata félbeszakad, és ekkor újra kell kezdenie az eljárást.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regisztrációra vonatkozó határidő lejárta után nem lesz lehetősége semmiféle adatot bevinni.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Késedelmes regisztrációt nem fogadunk el.</w:t>
      </w:r>
    </w:p>
    <w:p w14:paraId="1474BB68" w14:textId="77777777" w:rsidR="00717779" w:rsidRPr="007915CB" w:rsidRDefault="0071777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5D463DE0" w14:textId="77777777" w:rsidR="00717779" w:rsidRPr="007915CB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Határidő</w:t>
      </w:r>
      <w:r>
        <w:rPr>
          <w:b/>
          <w:rFonts w:ascii="Times New Roman" w:hAnsi="Times New Roman"/>
        </w:rPr>
        <w:t xml:space="preserve"> </w:t>
      </w:r>
    </w:p>
    <w:p w14:paraId="6AC0A3F2" w14:textId="4053CFAF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 regisztráció határideje </w:t>
      </w:r>
      <w:r>
        <w:rPr>
          <w:b/>
          <w:rFonts w:ascii="Times New Roman" w:hAnsi="Times New Roman"/>
        </w:rPr>
        <w:t xml:space="preserve">2023. november 27., brüsszeli idő szerint déli 12 óra</w:t>
      </w:r>
      <w:r>
        <w:rPr>
          <w:rFonts w:ascii="Times New Roman" w:hAnsi="Times New Roman"/>
        </w:rPr>
        <w:t xml:space="preserve">, amely időpontot követően regisztrációra már nincs lehetőség.</w:t>
      </w:r>
    </w:p>
    <w:p w14:paraId="72416418" w14:textId="77777777" w:rsidR="001C1F92" w:rsidRPr="007915CB" w:rsidRDefault="001C1F92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661DD29D" w14:textId="05D2B720" w:rsidR="007E7FE2" w:rsidRPr="007915CB" w:rsidRDefault="007E7FE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sectPr w:rsidR="007E7FE2" w:rsidRPr="007915C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FD8F1" w14:textId="77777777" w:rsidR="004058D7" w:rsidRDefault="004058D7" w:rsidP="00110276">
      <w:pPr>
        <w:spacing w:after="0" w:line="240" w:lineRule="auto"/>
      </w:pPr>
      <w:r>
        <w:separator/>
      </w:r>
    </w:p>
  </w:endnote>
  <w:endnote w:type="continuationSeparator" w:id="0">
    <w:p w14:paraId="7657791C" w14:textId="77777777" w:rsidR="004058D7" w:rsidRDefault="004058D7" w:rsidP="0011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7596" w14:textId="77777777" w:rsidR="008649AA" w:rsidRDefault="008649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266988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21BE27" w14:textId="08785B33" w:rsidR="00110276" w:rsidRPr="00FA7C3E" w:rsidRDefault="00397114" w:rsidP="008649AA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4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39161" w14:textId="77777777" w:rsidR="008649AA" w:rsidRDefault="008649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BAF1" w14:textId="77777777" w:rsidR="004058D7" w:rsidRDefault="004058D7" w:rsidP="00110276">
      <w:pPr>
        <w:spacing w:after="0" w:line="240" w:lineRule="auto"/>
      </w:pPr>
      <w:r>
        <w:separator/>
      </w:r>
    </w:p>
  </w:footnote>
  <w:footnote w:type="continuationSeparator" w:id="0">
    <w:p w14:paraId="4C0FFBCC" w14:textId="77777777" w:rsidR="004058D7" w:rsidRDefault="004058D7" w:rsidP="00110276">
      <w:pPr>
        <w:spacing w:after="0" w:line="240" w:lineRule="auto"/>
      </w:pPr>
      <w:r>
        <w:continuationSeparator/>
      </w:r>
    </w:p>
  </w:footnote>
  <w:footnote w:id="1">
    <w:p w14:paraId="0E75C3F9" w14:textId="709F6D55" w:rsidR="00E62B49" w:rsidRPr="0070492C" w:rsidRDefault="00E62B49" w:rsidP="00FA7C3E">
      <w:pPr>
        <w:pStyle w:val="FootnoteText"/>
        <w:ind w:left="284" w:hanging="284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A szakmai tapasztalat csak akkor vehető figyelembe, ha arra a pályázó olyan tényleges munkaviszony keretében tett szert, amelyet valós, fizetett (bármilyen típusú szerződéssel rendelkező) alkalmazottként vagy szolgáltatóként végzett munka jellemez.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A részmunkaidőben végzett szakmai tevékenységeket arányosan, a teljes munkaidő igazolt hányada alapján kell kiszámítani.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A szülési szabadság/szülői szabadság/örökbefogadási szabadság akkor vehető figyelembe, ha arra munkaszerződés keretében került sor.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A doktori tanulmányok akkor is szakmai tapasztalatnak minősülnek, ha nem fizetettek, ugyanakkor az ilyen tanulmányok időtartamából legfeljebb három év vehető szakmai tapasztalatként figyelembe, és kizárólag abban az esetben, ha a pályázó az adott doktori képzést sikeresen elvégezte.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Egy adott időszak csak egyszer vehető figyelembe.</w:t>
      </w:r>
    </w:p>
  </w:footnote>
  <w:footnote w:id="2">
    <w:p w14:paraId="56EBE6D8" w14:textId="5E51D7E1" w:rsidR="003542EC" w:rsidRPr="0070492C" w:rsidRDefault="003542EC" w:rsidP="00FA7C3E">
      <w:pPr>
        <w:pStyle w:val="FootnoteText"/>
        <w:ind w:left="284" w:hanging="284"/>
        <w:jc w:val="both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Önéletrajzukban a pályázók a vezetői munkakörben töltött évekre vonatkozóan egyértelműen közöljék a következőket: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1. a betöltött vezető beosztások megnevezése és az ezekhez tartozó munkakör;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2. a felügyelt személyzet létszáma;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3. az irányításuk alá tartozó költségvetés nagysága;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4. a hierarchiában alattuk és felettük lévő szintek száma, valamint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valamint 5. a velük azonos beosztásban lévő munkatársak száma.</w:t>
      </w:r>
    </w:p>
  </w:footnote>
  <w:footnote w:id="3">
    <w:p w14:paraId="3118960B" w14:textId="19F0D8CF" w:rsidR="008649AA" w:rsidRPr="0070492C" w:rsidRDefault="003542EC" w:rsidP="00FA7C3E">
      <w:pPr>
        <w:pStyle w:val="FootnoteText"/>
        <w:ind w:left="284" w:hanging="284"/>
        <w:jc w:val="both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hyperlink r:id="rId1" w:history="1">
        <w:r>
          <w:rPr>
            <w:rStyle w:val="Hyperlink"/>
          </w:rPr>
          <w:t xml:space="preserve">http://eur-lex.europa.eu/legal-content/HU/TXT/PDF/?uri=CELEX:01958R0001-20130701&amp;qid=1408533709461&amp;from=HU</w:t>
        </w:r>
      </w:hyperlink>
      <w:hyperlink r:id="rId2" w:history="1">
        <w:r>
          <w:rPr>
            <w:rStyle w:val="Hyperlink"/>
            <w:sz w:val="16"/>
            <w:rFonts w:ascii="Times New Roman" w:hAnsi="Times New Roman"/>
          </w:rPr>
          <w:t xml:space="preserve">https://eur-lex.europa.eu/legal-content/HU/TXT/?uri=CELEX%3A01958R0001-20130701</w:t>
        </w:r>
      </w:hyperlink>
      <w:r>
        <w:rPr>
          <w:rStyle w:val="Hyperlink"/>
          <w:sz w:val="16"/>
          <w:rFonts w:ascii="Times New Roman" w:hAnsi="Times New Roman"/>
        </w:rPr>
        <w:t xml:space="preserve"> </w:t>
      </w:r>
    </w:p>
  </w:footnote>
  <w:footnote w:id="4">
    <w:p w14:paraId="32AC9A16" w14:textId="18DF4C14" w:rsidR="000E34E6" w:rsidRPr="0070492C" w:rsidRDefault="003542EC" w:rsidP="000E34E6">
      <w:pPr>
        <w:pStyle w:val="FootnoteText"/>
        <w:ind w:left="284" w:hanging="284"/>
        <w:jc w:val="both"/>
        <w:rPr>
          <w:color w:val="0000FF" w:themeColor="hyperlink"/>
          <w:sz w:val="16"/>
          <w:szCs w:val="16"/>
          <w:u w:val="single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hyperlink r:id="rId3" w:history="1">
        <w:r>
          <w:rPr>
            <w:rStyle w:val="Hyperlink"/>
            <w:sz w:val="16"/>
            <w:rFonts w:ascii="Times New Roman" w:hAnsi="Times New Roman"/>
          </w:rPr>
          <w:t xml:space="preserve">https://eur-lex.europa.eu/legal-content/HU/TXT/?uri=CELEX%3A01962R0031-20140701</w:t>
        </w:r>
      </w:hyperlink>
      <w:r>
        <w:rPr>
          <w:rStyle w:val="Hyperlink"/>
          <w:sz w:val="16"/>
          <w:rFonts w:ascii="Times New Roman" w:hAnsi="Times New Roman"/>
        </w:rPr>
        <w:t xml:space="preserve"> </w:t>
      </w:r>
    </w:p>
  </w:footnote>
  <w:footnote w:id="5">
    <w:p w14:paraId="4C919712" w14:textId="4D16146C" w:rsidR="009D3D62" w:rsidRDefault="009D3D62" w:rsidP="009D3D62">
      <w:pPr>
        <w:pStyle w:val="FootnoteText"/>
        <w:ind w:left="284" w:hanging="284"/>
        <w:jc w:val="both"/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hyperlink r:id="rId4" w:anchor="documents">
        <w:r>
          <w:rPr>
            <w:rStyle w:val="Hyperlink"/>
            <w:sz w:val="16"/>
            <w:rFonts w:ascii="Times New Roman" w:hAnsi="Times New Roman"/>
          </w:rPr>
          <w:t xml:space="preserve">https://commission.europa.eu/jobs-european-commission/job-opportunities/managers-european-commission_en#documents</w:t>
        </w:r>
      </w:hyperlink>
      <w:r>
        <w:rPr>
          <w:sz w:val="16"/>
          <w:rFonts w:ascii="Times New Roman" w:hAnsi="Times New Roman"/>
        </w:rPr>
        <w:t xml:space="preserve"> (csak angolul)</w:t>
      </w:r>
    </w:p>
  </w:footnote>
  <w:footnote w:id="6">
    <w:p w14:paraId="48531ABE" w14:textId="77777777" w:rsidR="00AF21B0" w:rsidRPr="004B637B" w:rsidRDefault="00AF21B0" w:rsidP="00AF21B0">
      <w:pPr>
        <w:pStyle w:val="FootnoteText"/>
        <w:ind w:left="284" w:hanging="284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Az Európai Parlament és a Tanács (EU) 2018/1725 rendelete (2018. október 23.) a természetes személyeknek a személyes adatok uniós intézmények, szervek, hivatalok és ügynökségek általi kezelése tekintetében való védelméről és az ilyen adatok szabad áramlásáról, valamint a 45/2001/EK rendelet és az 1247/2002/EK határozat hatályon kívül helyezéséről (HL L 295., 2018.11.21., 39. o.).</w:t>
      </w:r>
    </w:p>
  </w:footnote>
  <w:footnote w:id="7">
    <w:p w14:paraId="24BBB1E7" w14:textId="21736824" w:rsidR="00EC7181" w:rsidRPr="00EC7181" w:rsidRDefault="00EC7181" w:rsidP="00BE6643">
      <w:pPr>
        <w:pStyle w:val="FootnoteText"/>
        <w:ind w:left="284" w:hanging="284"/>
        <w:rPr>
          <w:sz w:val="16"/>
          <w:rFonts w:ascii="Arial" w:hAnsi="Arial" w:cs="Arial"/>
        </w:rPr>
      </w:pPr>
      <w:r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>
        <w:rPr>
          <w:sz w:val="18"/>
          <w:rFonts w:ascii="Times New Roman" w:hAnsi="Times New Roman"/>
        </w:rPr>
        <w:t xml:space="preserve"> </w:t>
      </w:r>
      <w:r>
        <w:tab/>
      </w:r>
      <w:r>
        <w:rPr>
          <w:sz w:val="18"/>
          <w:rFonts w:ascii="Times New Roman" w:hAnsi="Times New Roman"/>
        </w:rPr>
        <w:t xml:space="preserve">Europass önéletrajzának online elkészítésével kapcsolatban az alábbi címen tájékozódhat:</w:t>
      </w:r>
      <w:r>
        <w:rPr>
          <w:sz w:val="18"/>
          <w:rFonts w:ascii="Times New Roman" w:hAnsi="Times New Roman"/>
        </w:rPr>
        <w:t xml:space="preserve"> </w:t>
      </w:r>
      <w:hyperlink r:id="rId5" w:history="1">
        <w:r>
          <w:rPr>
            <w:rStyle w:val="Hyperlink"/>
            <w:sz w:val="18"/>
            <w:rFonts w:ascii="Times New Roman" w:hAnsi="Times New Roman"/>
          </w:rPr>
          <w:t xml:space="preserve">https://europa.eu/europass/hu/create-europass-cv</w:t>
        </w:r>
      </w:hyperlink>
      <w:r>
        <w:rPr>
          <w:sz w:val="16"/>
          <w:rFonts w:ascii="Arial" w:hAnsi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FCA2" w14:textId="77777777" w:rsidR="008649AA" w:rsidRDefault="008649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AF97" w14:textId="77777777" w:rsidR="008649AA" w:rsidRPr="00791B6C" w:rsidRDefault="008649AA" w:rsidP="00791B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25500" w14:textId="77777777" w:rsidR="008649AA" w:rsidRDefault="008649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87412"/>
    <w:multiLevelType w:val="hybridMultilevel"/>
    <w:tmpl w:val="3C7CC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25535"/>
    <w:multiLevelType w:val="hybridMultilevel"/>
    <w:tmpl w:val="3B826100"/>
    <w:lvl w:ilvl="0" w:tplc="13B690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272120">
    <w:abstractNumId w:val="0"/>
  </w:num>
  <w:num w:numId="2" w16cid:durableId="54861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F08A9"/>
    <w:rsid w:val="00022B52"/>
    <w:rsid w:val="00036471"/>
    <w:rsid w:val="000616AE"/>
    <w:rsid w:val="0006221C"/>
    <w:rsid w:val="00081B31"/>
    <w:rsid w:val="000B11FF"/>
    <w:rsid w:val="000C68F8"/>
    <w:rsid w:val="000D2AC6"/>
    <w:rsid w:val="000E34E6"/>
    <w:rsid w:val="000F067E"/>
    <w:rsid w:val="00100151"/>
    <w:rsid w:val="00110276"/>
    <w:rsid w:val="00136457"/>
    <w:rsid w:val="00137B4B"/>
    <w:rsid w:val="00160239"/>
    <w:rsid w:val="0017173B"/>
    <w:rsid w:val="001850C7"/>
    <w:rsid w:val="001C1F92"/>
    <w:rsid w:val="001F08A9"/>
    <w:rsid w:val="001F7EC5"/>
    <w:rsid w:val="00202605"/>
    <w:rsid w:val="00207183"/>
    <w:rsid w:val="002136B6"/>
    <w:rsid w:val="00217E60"/>
    <w:rsid w:val="00223DFE"/>
    <w:rsid w:val="002549D3"/>
    <w:rsid w:val="002F0575"/>
    <w:rsid w:val="00335932"/>
    <w:rsid w:val="00337A3F"/>
    <w:rsid w:val="003535CC"/>
    <w:rsid w:val="003542EC"/>
    <w:rsid w:val="00392C54"/>
    <w:rsid w:val="00397114"/>
    <w:rsid w:val="003C4E2A"/>
    <w:rsid w:val="003C52B5"/>
    <w:rsid w:val="003C53E5"/>
    <w:rsid w:val="003E0FBA"/>
    <w:rsid w:val="004058D7"/>
    <w:rsid w:val="00420DBB"/>
    <w:rsid w:val="004741CB"/>
    <w:rsid w:val="00474471"/>
    <w:rsid w:val="004A0814"/>
    <w:rsid w:val="00500872"/>
    <w:rsid w:val="0050511F"/>
    <w:rsid w:val="00516AD8"/>
    <w:rsid w:val="00533A8D"/>
    <w:rsid w:val="00544F8A"/>
    <w:rsid w:val="00570ED2"/>
    <w:rsid w:val="005927E6"/>
    <w:rsid w:val="006009C2"/>
    <w:rsid w:val="00623094"/>
    <w:rsid w:val="006309B5"/>
    <w:rsid w:val="006337EB"/>
    <w:rsid w:val="0066676D"/>
    <w:rsid w:val="00671290"/>
    <w:rsid w:val="006A0D27"/>
    <w:rsid w:val="006B1671"/>
    <w:rsid w:val="006C5E29"/>
    <w:rsid w:val="006D50E6"/>
    <w:rsid w:val="0070371D"/>
    <w:rsid w:val="0070492C"/>
    <w:rsid w:val="00715087"/>
    <w:rsid w:val="00717779"/>
    <w:rsid w:val="007915CB"/>
    <w:rsid w:val="00791B6C"/>
    <w:rsid w:val="007A1D4C"/>
    <w:rsid w:val="007C5095"/>
    <w:rsid w:val="007C6679"/>
    <w:rsid w:val="007E1A6A"/>
    <w:rsid w:val="007E1AC2"/>
    <w:rsid w:val="007E7FE2"/>
    <w:rsid w:val="00800764"/>
    <w:rsid w:val="00805BB3"/>
    <w:rsid w:val="0081601E"/>
    <w:rsid w:val="00840D2D"/>
    <w:rsid w:val="008452B6"/>
    <w:rsid w:val="008649AA"/>
    <w:rsid w:val="00887522"/>
    <w:rsid w:val="008A2556"/>
    <w:rsid w:val="008B1DAC"/>
    <w:rsid w:val="008C2C91"/>
    <w:rsid w:val="008C7C76"/>
    <w:rsid w:val="009241F8"/>
    <w:rsid w:val="0093789F"/>
    <w:rsid w:val="00944C37"/>
    <w:rsid w:val="009B1143"/>
    <w:rsid w:val="009C1DF7"/>
    <w:rsid w:val="009C53E3"/>
    <w:rsid w:val="009D3D62"/>
    <w:rsid w:val="009F1A90"/>
    <w:rsid w:val="00A06542"/>
    <w:rsid w:val="00AA6D65"/>
    <w:rsid w:val="00AF21B0"/>
    <w:rsid w:val="00B16F5D"/>
    <w:rsid w:val="00B84D68"/>
    <w:rsid w:val="00B86141"/>
    <w:rsid w:val="00BA22B2"/>
    <w:rsid w:val="00BD2190"/>
    <w:rsid w:val="00BD708C"/>
    <w:rsid w:val="00BE6643"/>
    <w:rsid w:val="00C0456C"/>
    <w:rsid w:val="00C35403"/>
    <w:rsid w:val="00C844CD"/>
    <w:rsid w:val="00C93D13"/>
    <w:rsid w:val="00CD4A50"/>
    <w:rsid w:val="00CD7E6A"/>
    <w:rsid w:val="00D17155"/>
    <w:rsid w:val="00D22C3B"/>
    <w:rsid w:val="00D52307"/>
    <w:rsid w:val="00D64A09"/>
    <w:rsid w:val="00D64A62"/>
    <w:rsid w:val="00D67CC1"/>
    <w:rsid w:val="00D94F93"/>
    <w:rsid w:val="00DB7D3C"/>
    <w:rsid w:val="00DC04EE"/>
    <w:rsid w:val="00DC36A2"/>
    <w:rsid w:val="00E018DF"/>
    <w:rsid w:val="00E202A9"/>
    <w:rsid w:val="00E25088"/>
    <w:rsid w:val="00E32C90"/>
    <w:rsid w:val="00E34962"/>
    <w:rsid w:val="00E53957"/>
    <w:rsid w:val="00E55604"/>
    <w:rsid w:val="00E62B49"/>
    <w:rsid w:val="00E70197"/>
    <w:rsid w:val="00E73E74"/>
    <w:rsid w:val="00E84962"/>
    <w:rsid w:val="00E928AF"/>
    <w:rsid w:val="00EA0A29"/>
    <w:rsid w:val="00EC409A"/>
    <w:rsid w:val="00EC5C79"/>
    <w:rsid w:val="00EC7181"/>
    <w:rsid w:val="00EF0B03"/>
    <w:rsid w:val="00F14E9D"/>
    <w:rsid w:val="00F15DD1"/>
    <w:rsid w:val="00F313DA"/>
    <w:rsid w:val="00F46720"/>
    <w:rsid w:val="00F75D74"/>
    <w:rsid w:val="00F87CE8"/>
    <w:rsid w:val="00FA7C3E"/>
    <w:rsid w:val="00FE403C"/>
    <w:rsid w:val="07209309"/>
    <w:rsid w:val="0FA7AE60"/>
    <w:rsid w:val="112CF90A"/>
    <w:rsid w:val="27785E20"/>
    <w:rsid w:val="7EA3C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7EC71FA"/>
  <w15:docId w15:val="{448863A6-01A7-4660-B6D2-99288525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F08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8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8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8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8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8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276"/>
  </w:style>
  <w:style w:type="paragraph" w:styleId="Footer">
    <w:name w:val="footer"/>
    <w:basedOn w:val="Normal"/>
    <w:link w:val="Foot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276"/>
  </w:style>
  <w:style w:type="paragraph" w:styleId="ListParagraph">
    <w:name w:val="List Paragraph"/>
    <w:basedOn w:val="Normal"/>
    <w:uiPriority w:val="34"/>
    <w:qFormat/>
    <w:rsid w:val="00516AD8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516A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16AD8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16AD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6A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2B5"/>
    <w:rPr>
      <w:color w:val="800080" w:themeColor="followedHyperlink"/>
      <w:u w:val="single"/>
    </w:rPr>
  </w:style>
  <w:style w:type="character" w:customStyle="1" w:styleId="Corpsdutexte">
    <w:name w:val="Corps du texte_"/>
    <w:link w:val="Corpsdutexte0"/>
    <w:uiPriority w:val="99"/>
    <w:locked/>
    <w:rsid w:val="00E53957"/>
    <w:rPr>
      <w:rFonts w:ascii="Arial" w:hAnsi="Arial" w:cs="Arial"/>
      <w:sz w:val="16"/>
      <w:szCs w:val="16"/>
      <w:shd w:val="clear" w:color="auto" w:fill="FFFFFF"/>
    </w:rPr>
  </w:style>
  <w:style w:type="paragraph" w:customStyle="1" w:styleId="Corpsdutexte0">
    <w:name w:val="Corps du texte"/>
    <w:basedOn w:val="Normal"/>
    <w:link w:val="Corpsdutexte"/>
    <w:uiPriority w:val="99"/>
    <w:rsid w:val="00E53957"/>
    <w:pPr>
      <w:widowControl w:val="0"/>
      <w:shd w:val="clear" w:color="auto" w:fill="FFFFFF"/>
      <w:spacing w:before="60" w:after="420" w:line="240" w:lineRule="atLeast"/>
      <w:ind w:hanging="280"/>
      <w:jc w:val="center"/>
    </w:pPr>
    <w:rPr>
      <w:rFonts w:ascii="Arial" w:hAnsi="Arial" w:cs="Arial"/>
      <w:sz w:val="16"/>
      <w:szCs w:val="16"/>
    </w:rPr>
  </w:style>
  <w:style w:type="character" w:customStyle="1" w:styleId="Bodytext2">
    <w:name w:val="Body text|2_"/>
    <w:basedOn w:val="DefaultParagraphFont"/>
    <w:link w:val="Bodytext20"/>
    <w:rsid w:val="002549D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549D3"/>
    <w:pPr>
      <w:widowControl w:val="0"/>
      <w:shd w:val="clear" w:color="auto" w:fill="FFFFFF"/>
      <w:spacing w:before="80" w:after="80" w:line="224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ZDGName">
    <w:name w:val="Z_DGName"/>
    <w:basedOn w:val="Normal"/>
    <w:uiPriority w:val="99"/>
    <w:semiHidden/>
    <w:rsid w:val="00791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0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217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6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igital-strategy.ec.europa.eu/en/policies/high-performance-computing-joint-undertaking" TargetMode="External"/><Relationship Id="rId18" Type="http://schemas.openxmlformats.org/officeDocument/2006/relationships/hyperlink" Target="mailto:HR-MANAGEMENT-ONLINE@ec.europa.eu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digital-strategy.ec.europa.eu/en/policies/open-science-cloud" TargetMode="External"/><Relationship Id="rId17" Type="http://schemas.openxmlformats.org/officeDocument/2006/relationships/hyperlink" Target="https://ec.europa.eu/dgs/human-resources/seniormanagementvacancies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igital-strategy.ec.europa.eu/en/activities/flagship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igital-strategy.ec.europa.eu/en/policies/destination-earth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digital-strategy.ec.europa.eu/en/policies/european-quantum-communication-infrastructure-euroqci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urohpc-ju.europa.eu/index_en" TargetMode="External"/><Relationship Id="rId22" Type="http://schemas.openxmlformats.org/officeDocument/2006/relationships/footer" Target="footer2.xml"/></Relationships>
</file>

<file path=word/_rels/footnotes.xml.rels>&#65279;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HU/TXT/?uri=CELEX%3A01962R0031-20140701" TargetMode="External"/><Relationship Id="rId2" Type="http://schemas.openxmlformats.org/officeDocument/2006/relationships/hyperlink" Target="https://eur-lex.europa.eu/legal-content/HU/TXT/?uri=CELEX%3A01958R0001-20130701" TargetMode="External"/><Relationship Id="rId1" Type="http://schemas.openxmlformats.org/officeDocument/2006/relationships/hyperlink" Target="http://eur-lex.europa.eu/legal-content/HU/TXT/PDF/?uri=CELEX:01958R0001-20130701&amp;qid=1408533709461&amp;from=HU" TargetMode="External"/><Relationship Id="rId5" Type="http://schemas.openxmlformats.org/officeDocument/2006/relationships/hyperlink" Target="https://europa.eu/europass/hu/create-europass-cv" TargetMode="External"/><Relationship Id="rId4" Type="http://schemas.openxmlformats.org/officeDocument/2006/relationships/hyperlink" Target="https://commission.europa.eu/jobs-european-commission/job-opportunities/managers-european-commission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758C18408566418C0FD9B8B61EE907" ma:contentTypeVersion="4" ma:contentTypeDescription="Create a new document." ma:contentTypeScope="" ma:versionID="b49e5b301a5af27a10e5c928ceee74b8">
  <xsd:schema xmlns:xsd="http://www.w3.org/2001/XMLSchema" xmlns:xs="http://www.w3.org/2001/XMLSchema" xmlns:p="http://schemas.microsoft.com/office/2006/metadata/properties" xmlns:ns2="266b8023-4e98-4d86-a8f7-42cedb7eb419" targetNamespace="http://schemas.microsoft.com/office/2006/metadata/properties" ma:root="true" ma:fieldsID="324372e7c6f2edcc0f62b23e9674ded3" ns2:_="">
    <xsd:import namespace="266b8023-4e98-4d86-a8f7-42cedb7eb4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cedurephase" minOccurs="0"/>
                <xsd:element ref="ns2:Publica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b8023-4e98-4d86-a8f7-42cedb7eb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cedurephase" ma:index="10" nillable="true" ma:displayName="Procedure phase" ma:format="Dropdown" ma:internalName="Procedurephase">
      <xsd:simpleType>
        <xsd:restriction base="dms:Choice">
          <xsd:enumeration value="PUBLICATION"/>
          <xsd:enumeration value="PRE-SELECTION"/>
          <xsd:enumeration value="COMMUNICATION WITH CANDIDATES"/>
        </xsd:restriction>
      </xsd:simpleType>
    </xsd:element>
    <xsd:element name="Publicationtype" ma:index="11" nillable="true" ma:displayName="Publication type" ma:format="Dropdown" ma:internalName="Publicationtype">
      <xsd:simpleType>
        <xsd:restriction base="dms:Choice">
          <xsd:enumeration value="INTERNAL"/>
          <xsd:enumeration value="EXTERNAL"/>
          <xsd:enumeration value="INTERNAL, INTER-INST, EXTERNAL"/>
          <xsd:enumeration value="INTERNAL, INTER-INST"/>
          <xsd:enumeration value="INTER-INST, EXTER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durephase xmlns="266b8023-4e98-4d86-a8f7-42cedb7eb419">PUBLICATION</Procedurephase>
    <Publicationtype xmlns="266b8023-4e98-4d86-a8f7-42cedb7eb419">EXTERNAL</Publication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FC0D7-C62B-4325-9FFD-90011EC8A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62BFB-DDB3-461D-B3C6-74B494563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b8023-4e98-4d86-a8f7-42cedb7eb4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3AFB75-2E9B-437B-86AD-4BABCA0BEB5B}">
  <ds:schemaRefs>
    <ds:schemaRef ds:uri="http://schemas.microsoft.com/office/2006/metadata/properties"/>
    <ds:schemaRef ds:uri="http://schemas.microsoft.com/office/infopath/2007/PartnerControls"/>
    <ds:schemaRef ds:uri="266b8023-4e98-4d86-a8f7-42cedb7eb419"/>
  </ds:schemaRefs>
</ds:datastoreItem>
</file>

<file path=customXml/itemProps4.xml><?xml version="1.0" encoding="utf-8"?>
<ds:datastoreItem xmlns:ds="http://schemas.openxmlformats.org/officeDocument/2006/customXml" ds:itemID="{D3233081-6A2C-422E-9A48-24ABB82F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2191</Words>
  <Characters>12711</Characters>
  <Application>Microsoft Office Word</Application>
  <DocSecurity>4</DocSecurity>
  <Lines>208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HR.C.1</dc:creator>
  <cp:lastModifiedBy>SEMERARO Maria-Rosella (HR)</cp:lastModifiedBy>
  <cp:revision>2</cp:revision>
  <cp:lastPrinted>2018-05-18T08:34:00Z</cp:lastPrinted>
  <dcterms:created xsi:type="dcterms:W3CDTF">2023-10-16T08:33:00Z</dcterms:created>
  <dcterms:modified xsi:type="dcterms:W3CDTF">2023-10-16T08:33:00Z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UpdateToken">
    <vt:lpwstr>24</vt:lpwstr>
  </property>
  <property fmtid="{D5CDD505-2E9C-101B-9397-08002B2CF9AE}" pid="3" name="Offisync_ServerID">
    <vt:lpwstr>0d3b22a6-6203-4efc-8e8e-b5279256493b</vt:lpwstr>
  </property>
  <property fmtid="{D5CDD505-2E9C-101B-9397-08002B2CF9AE}" pid="4" name="Offisync_ProviderInitializationData">
    <vt:lpwstr>https://webgate.ec.europa.eu/connected</vt:lpwstr>
  </property>
  <property fmtid="{D5CDD505-2E9C-101B-9397-08002B2CF9AE}" pid="5" name="Jive_LatestUserAccountName">
    <vt:lpwstr>kytoltu</vt:lpwstr>
  </property>
  <property fmtid="{D5CDD505-2E9C-101B-9397-08002B2CF9AE}" pid="6" name="Jive_VersionGuid">
    <vt:lpwstr>33754013-f31b-4bbc-8276-57afe9ff3fc9</vt:lpwstr>
  </property>
  <property fmtid="{D5CDD505-2E9C-101B-9397-08002B2CF9AE}" pid="7" name="Offisync_UniqueId">
    <vt:lpwstr>162037</vt:lpwstr>
  </property>
  <property fmtid="{D5CDD505-2E9C-101B-9397-08002B2CF9AE}" pid="8" name="Jive_ModifiedButNotPublished">
    <vt:lpwstr>True</vt:lpwstr>
  </property>
  <property fmtid="{D5CDD505-2E9C-101B-9397-08002B2CF9AE}" pid="9" name="Jive_PrevVersionNumber">
    <vt:lpwstr/>
  </property>
  <property fmtid="{D5CDD505-2E9C-101B-9397-08002B2CF9AE}" pid="10" name="Jive_VersionGuid_v2.5">
    <vt:lpwstr/>
  </property>
  <property fmtid="{D5CDD505-2E9C-101B-9397-08002B2CF9AE}" pid="11" name="Jive_LatestFileFullName">
    <vt:lpwstr/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2023-01-13T07:40:32Z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1034dbf8-9560-4bc9-86a2-8e60141f00e3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ContentTypeId">
    <vt:lpwstr>0x01010054758C18408566418C0FD9B8B61EE907</vt:lpwstr>
  </property>
</Properties>
</file>