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Viestintäverkkojen, sisältöjen ja teknologian pääosasto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Ilmoitus avoinna olevasta johtajan virasta digitaalisesta huippuosaamisesta ja tieteen infrastruktuurista vastaavalla linjalla (palkkaluokka AD 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(Henkilöstösääntöjen 29 artiklan 2 kohta)</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Keitä olemme</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Viestintäverkkojen, sisältöjen ja teknologian pääosasto (DG CNECT) tukee talouden ja yhteiskunnan digitalisaatiota sekä suunnittelee ja toteuttaa politiikkatoimia, joita tarvitaan sisämarkkinoiden edistämiseksi ja Euroopan digitaalisen valmiuden parantamiseksi. Pääosaston toiminnan toteuttaminen perustuu kahdensuuntaiseen yhteistyöhön kaikkien asianomaisten osapuolten (mm. elinkeinoelämä, tiedeyhteisö, julkiset organisaatiot, sidosryhmät ja yksityishenkilöt) kanssa. Pääosasto edistää myös aktiivisesti monialaista yhteistyötä pääosastossa ja koko komissiossa. </w:t>
      </w:r>
    </w:p>
    <w:p w14:paraId="7243E7D8" w14:textId="7B20C209" w:rsidR="007915CB" w:rsidRPr="007915CB" w:rsidRDefault="007915CB" w:rsidP="007915CB">
      <w:pPr>
        <w:shd w:val="clear" w:color="auto" w:fill="FFFFFF"/>
        <w:jc w:val="both"/>
        <w:rPr>
          <w:rFonts w:ascii="Times New Roman" w:hAnsi="Times New Roman" w:cs="Times New Roman"/>
        </w:rPr>
      </w:pPr>
      <w:r>
        <w:rPr>
          <w:rFonts w:ascii="Times New Roman" w:hAnsi="Times New Roman"/>
        </w:rPr>
        <w:t>Linjan C ”</w:t>
      </w:r>
      <w:r>
        <w:rPr>
          <w:rFonts w:ascii="Times New Roman" w:hAnsi="Times New Roman"/>
          <w:shd w:val="clear" w:color="auto" w:fill="FFFFFF"/>
        </w:rPr>
        <w:t>Digitaalinen huippuosaaminen ja tieteen infrastruktuuri</w:t>
      </w:r>
      <w:r>
        <w:rPr>
          <w:rFonts w:ascii="Times New Roman" w:hAnsi="Times New Roman"/>
        </w:rPr>
        <w:t>” tavoitteena on varmistaa johtoasema tulevaisuuden tieto- ja viestintätekniikoissa ja -infrastruktuurissa, tukea niiden laajempaa käyttöönottoa ja laajamittaista hyödyntämistä sekä edistää monien vaikuttavien tieteellisten, teollisten ja yhteiskunnallisten sovellusten luomista. Linja vastaa seuraavista toimista: Se johtaa ja koordinoi</w:t>
      </w:r>
      <w:r>
        <w:t xml:space="preserve"> </w:t>
      </w:r>
      <w:hyperlink r:id="rId11" w:history="1">
        <w:r>
          <w:rPr>
            <w:rStyle w:val="Hyperlink"/>
            <w:rFonts w:ascii="Times New Roman" w:hAnsi="Times New Roman"/>
          </w:rPr>
          <w:t>Destination Earth</w:t>
        </w:r>
      </w:hyperlink>
      <w:r>
        <w:t xml:space="preserve"> </w:t>
      </w:r>
      <w:r>
        <w:rPr>
          <w:rFonts w:ascii="Times New Roman" w:hAnsi="Times New Roman"/>
        </w:rPr>
        <w:t>-aloitteen toteuttamista. Se pyrkii myös luomaan</w:t>
      </w:r>
      <w:r>
        <w:t xml:space="preserve"> </w:t>
      </w:r>
      <w:hyperlink r:id="rId12" w:history="1">
        <w:r>
          <w:rPr>
            <w:rStyle w:val="Hyperlink"/>
            <w:rFonts w:ascii="Times New Roman" w:hAnsi="Times New Roman"/>
          </w:rPr>
          <w:t>eurooppalaiset avoimen tieteen pilvipalvelut</w:t>
        </w:r>
      </w:hyperlink>
      <w:r>
        <w:t>.</w:t>
      </w:r>
      <w:r>
        <w:rPr>
          <w:rFonts w:ascii="Times New Roman" w:hAnsi="Times New Roman"/>
        </w:rPr>
        <w:t xml:space="preserve"> Linja koordinoi ja seuraa</w:t>
      </w:r>
      <w:r>
        <w:t xml:space="preserve"> </w:t>
      </w:r>
      <w:hyperlink r:id="rId13" w:history="1">
        <w:r>
          <w:rPr>
            <w:rStyle w:val="Hyperlink"/>
            <w:rFonts w:ascii="Times New Roman" w:hAnsi="Times New Roman"/>
          </w:rPr>
          <w:t>suurteholaskennan, kvanttilaskennan ja -viestinnän</w:t>
        </w:r>
      </w:hyperlink>
      <w:r>
        <w:t xml:space="preserve"> </w:t>
      </w:r>
      <w:r>
        <w:rPr>
          <w:rFonts w:ascii="Times New Roman" w:hAnsi="Times New Roman"/>
        </w:rPr>
        <w:t>sekä tietoinfrastruktuurien kehitystä ja käyttöönottoa (muun muassa</w:t>
      </w:r>
      <w:r>
        <w:t xml:space="preserve"> </w:t>
      </w:r>
      <w:hyperlink r:id="rId14" w:history="1">
        <w:r>
          <w:rPr>
            <w:rStyle w:val="Hyperlink"/>
            <w:rFonts w:ascii="Times New Roman" w:hAnsi="Times New Roman"/>
          </w:rPr>
          <w:t>EuroHPC-yhteisyrityksen</w:t>
        </w:r>
      </w:hyperlink>
      <w:r>
        <w:t xml:space="preserve"> </w:t>
      </w:r>
      <w:r>
        <w:rPr>
          <w:rFonts w:ascii="Times New Roman" w:hAnsi="Times New Roman"/>
        </w:rPr>
        <w:t>valvonta sekä</w:t>
      </w:r>
      <w:r>
        <w:t xml:space="preserve"> </w:t>
      </w:r>
      <w:hyperlink r:id="rId15" w:history="1">
        <w:r>
          <w:rPr>
            <w:rStyle w:val="Hyperlink"/>
            <w:rFonts w:ascii="Times New Roman" w:hAnsi="Times New Roman"/>
          </w:rPr>
          <w:t>eurooppalaisen kvanttiviestintäinfrastruktuurialoitteen EuroQCI:n</w:t>
        </w:r>
      </w:hyperlink>
      <w:r>
        <w:rPr>
          <w:rFonts w:ascii="Times New Roman" w:hAnsi="Times New Roman"/>
        </w:rPr>
        <w:t xml:space="preserve"> tukeminen). Lisäksi linja kehittää myös kaupunkialustojen digitaalisia kaksosia, jotka tarjoavat älykkäitä digiratkaisuja ja </w:t>
      </w:r>
      <w:r w:rsidR="00D954D9">
        <w:rPr>
          <w:rFonts w:ascii="Times New Roman" w:hAnsi="Times New Roman"/>
        </w:rPr>
        <w:noBreakHyphen/>
      </w:r>
      <w:r>
        <w:rPr>
          <w:rFonts w:ascii="Times New Roman" w:hAnsi="Times New Roman"/>
        </w:rPr>
        <w:t>palveluja (jotka perustuvat living-in.eu-liikkeeseen). Edellisten ohella linja vastaa</w:t>
      </w:r>
      <w:r>
        <w:t xml:space="preserve"> </w:t>
      </w:r>
      <w:hyperlink r:id="rId16" w:history="1">
        <w:r>
          <w:rPr>
            <w:rStyle w:val="Hyperlink"/>
            <w:rFonts w:ascii="Times New Roman" w:hAnsi="Times New Roman"/>
          </w:rPr>
          <w:t>tulevien ja kehitteillä olevien teknologioiden lippulaivaohjelmasta (FET-ohjelma)</w:t>
        </w:r>
      </w:hyperlink>
      <w:r>
        <w:rPr>
          <w:rFonts w:ascii="Times New Roman" w:hAnsi="Times New Roman"/>
        </w:rPr>
        <w:t xml:space="preserve">, johon kuuluu Human Brain </w:t>
      </w:r>
      <w:r w:rsidR="00D954D9">
        <w:rPr>
          <w:rFonts w:ascii="Times New Roman" w:hAnsi="Times New Roman"/>
        </w:rPr>
        <w:noBreakHyphen/>
      </w:r>
      <w:r>
        <w:rPr>
          <w:rFonts w:ascii="Times New Roman" w:hAnsi="Times New Roman"/>
        </w:rPr>
        <w:t>hanke, grafeenihanke</w:t>
      </w:r>
      <w:r>
        <w:t xml:space="preserve"> </w:t>
      </w:r>
      <w:r>
        <w:rPr>
          <w:rFonts w:ascii="Times New Roman" w:hAnsi="Times New Roman"/>
        </w:rPr>
        <w:t>ja kvanttiteknologiahanke.</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Linja koostuu neljästä yksiköstä, jotka sijaitsevat Brysselissä ja Luxemburgissa. Linja työllistää noin 70 työntekijää, ja sen vuosibudjetti on noin 350 miljoonaa euroa. Johtajan toimi sijaitsee Luxemburgissa.</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Mitä tarjoamme</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Johtajan tehtävänä on</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tehdä analyyttistä työtä ja laatia pääosastolle linjan alaa koskevia strategioita ja toimintapolitiikkoja</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laatia linjan työohjelma (mm. tavoitteet, tuotokset ja määräajat) ja varmistaa sen yhdenmukaisuus ja johdonmukaisuus pääosaston yleistavoitteiden kanssa</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varmistaa linjan toimien tuloksellinen suunnittelu ja johtaminen, muun muassa laatustandardit, määräaikojen seuranta, työnkulku, tavoitteiden eteneminen ja niiden täyttäminen</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koordinoida ja toteuttaa linjan kunkin yksikön työohjelmaan kuuluvat toimet ja varmistaa samalla niiden yhdenmukaisuus ja yhteensopivuus EU:n/komission politiikkojen kanssa</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varmistaa linjan henkilöresurssien tehokas suunnittelu, osoittaminen ja hallinnointi; seurata ja valvoa linjan toimintaa, mukaan lukien tulosten analysointi/arviointi sekä hallinnointi resurssien vaikuttavan ja tehokkaan kohdentamisen ja käytön varmistamiseksi</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varmistaa talousarviovarojen tuloksellinen suunnittelu ja hallinnointi koko linjassa ja osallistua pääosaston talousarvio- ja varainhoitopolitiikan kehittämiseen osana komission poliittista kokonaiskehystä</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avustaa pääjohtajaa pääosaston organisointiin ja sen yleiseen hallintoon liittyvissä kysymyksissä; edustaa pääosastoa linjan tai pääosaston kannalta tärkeissä ulkoisissa ja sisäisissä tapahtumissa, mukaan lukien linjan edustaminen osallistumalla asiaankuuluvien komiteoiden ja työryhmien kokouksiin</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luoda suhteita ja pitää säännöllistä yhteyttä asiaankuuluviin komission sisäisiin yksiköihin sekä ulkoisiin elimiin pääosaston etujen ajamiseksi ja ajan tasalla pysymiseksi linjan toiminta-alaan liittyvien EU:n/komission politiikkojen kehittämisessä.</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Toivomme hakijalta (valintaperusteet)</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Henkilökohtaiset ominaisuudet</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erinomaisia viestintä- ja neuvottelutaitoja, mukaan lukien kykyä edustaa pääosastoa korkeimmalla tasolla komissiossa, jäsenvaltioissa ja kansainvälisillä foorumeilla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hyvää arvostelukykyä, käsitteellistä ajattelua sekä kykyä ajatella tuoreesti ja strategisesti;</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Erityisosaaminen ja asiantuntemus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eurooppalaiseen tutkimus-, kehitys- ja innovointipolitiikkaan liittyvän tieto- ja viestintätekniikan sekä laajemmin digitalous- ja yhteiskuntapolitiikan hyvää tuntemusta</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tutkimuspolitiikan vankkaa tuntemusta – kokemus laajamittaisista tutkimuspoliittisista aloitteista ja sovelluksista katsotaan eduksi – sekä mielellään korkeassa asemassa hankittua, osoitettua kokemusta politiikan muotoilusta ja johtamisesta;</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Johtamistaidot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osoitettua johtamiskokemusta ja vahvaa johtamistaitoa sekä kykyä johtaa, innostaa ja motivoida linjaa, jonka tiimit ovat suuria ja taloudelliset resurssit mittavia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kokemus strategisesta suunnittelusta ja ohjelmien hallinnoinnista pääosaston aloilla tai niihin liittyvillä aloilla katsotaan eduksi</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näyttöä kyvystä ajatella luovasti ja strategisesti selkeän kuvan muodostamiseksi saavutettavista tavoitteista ja sen muuntamiseksi käytännöllisiksi ja realistisiksi toimintasuunnitelmiksi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kykyä johtaa dynaamista muutosprosessia.</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Mitä edellytämme (hakuedellytykset)</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Valintavaiheeseen päästäkseen hakijan on täytettävä seuraavat muodolliset vaatimukset </w:t>
      </w:r>
      <w:r>
        <w:rPr>
          <w:rFonts w:ascii="Times New Roman" w:hAnsi="Times New Roman"/>
          <w:b/>
        </w:rPr>
        <w:t>viimeistään hakuajan päättyessä</w:t>
      </w:r>
      <w:r>
        <w:rPr>
          <w:rFonts w:ascii="Times New Roman" w:hAnsi="Times New Roman"/>
        </w:rPr>
        <w:t>:</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Kansalaisuus:</w:t>
      </w:r>
      <w:r>
        <w:rPr>
          <w:rFonts w:ascii="Times New Roman" w:hAnsi="Times New Roman"/>
        </w:rPr>
        <w:t xml:space="preserve"> Hakijan on oltava jonkin Euroopan unionin jäsenvaltion kansalainen.</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Korkeakoulututkinto:</w:t>
      </w:r>
      <w:r>
        <w:rPr>
          <w:rFonts w:ascii="Times New Roman" w:hAnsi="Times New Roman"/>
        </w:rPr>
        <w:t xml:space="preserve"> Hakijalla on oltava</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lastRenderedPageBreak/>
        <w:t>–</w:t>
      </w:r>
      <w:r>
        <w:tab/>
      </w:r>
      <w:r>
        <w:rPr>
          <w:rFonts w:ascii="Times New Roman" w:hAnsi="Times New Roman"/>
        </w:rPr>
        <w:t>joko yliopistotasoinen koulutus, joka kestää tavallisesti vähintään neljä vuotta ja josta on osoituksena tutkintotodistus;</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tai yliopistotasoinen koulutus, joka kestää tavallisesti vähintään kolme vuotta ja josta on osoituksena tutkintotodistus, sekä vähintään yhden vuoden työkokemus työtehtäviin liittyvältä alalta (tätä vuoden työkokemusta ei lasketa mukaan jäljempänä vaadittuun, korkeakoulutuksen jälkeen hankittuun työkokemukseen).</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Työkokemus:</w:t>
      </w:r>
      <w:r>
        <w:rPr>
          <w:rFonts w:ascii="Times New Roman" w:hAnsi="Times New Roman"/>
        </w:rPr>
        <w:t xml:space="preserve"> Hakijalla on lisäksi oltava korkeakoulututkinnon suorittamisen jälkeen hankittu vähintään 15 vuoden työkokemus</w:t>
      </w:r>
      <w:r>
        <w:rPr>
          <w:rStyle w:val="FootnoteReference"/>
          <w:rFonts w:ascii="Times New Roman" w:hAnsi="Times New Roman" w:cs="Times New Roman"/>
          <w:b/>
        </w:rPr>
        <w:footnoteReference w:id="1"/>
      </w:r>
      <w:r>
        <w:rPr>
          <w:rFonts w:ascii="Times New Roman" w:hAnsi="Times New Roman"/>
        </w:rPr>
        <w:t xml:space="preserve"> tutkintoa vastaavalla pätevyystasolla.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Kokemus johtotehtävistä: </w:t>
      </w:r>
      <w:r>
        <w:rPr>
          <w:rFonts w:ascii="Times New Roman" w:hAnsi="Times New Roman"/>
        </w:rPr>
        <w:t>Korkeakoulututkinnon suorittamisen jälkeen hankitusta työkokemuksesta vähintään viisi vuotta on oltava ylemmistä johtotehtävistä</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Kielitaito:</w:t>
      </w:r>
      <w:r>
        <w:rPr>
          <w:rFonts w:ascii="Times New Roman" w:hAnsi="Times New Roman"/>
        </w:rPr>
        <w:t xml:space="preserve"> Hakijalla on oltava yhden Euroopan unionin virallisen kielen</w:t>
      </w:r>
      <w:r>
        <w:rPr>
          <w:rStyle w:val="FootnoteReference"/>
          <w:rFonts w:ascii="Times New Roman" w:hAnsi="Times New Roman" w:cs="Times New Roman"/>
        </w:rPr>
        <w:footnoteReference w:id="3"/>
      </w:r>
      <w:r>
        <w:rPr>
          <w:rFonts w:ascii="Times New Roman" w:hAnsi="Times New Roman"/>
        </w:rPr>
        <w:t xml:space="preserve"> perusteellinen taito ja toisen virallisen kielen riittävä taito. Valintalautakunnat varmistavat haastattelun/haastattelujen aikana, että hakija täyttää jonkin toisen EU:n virallisen kielen riittävää taitoa koskevan vaatimuksen. Tämän vuoksi haastattelu saatetaan tehdä ainakin osittain kyseisellä toisella kielellä.</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Ikäraja:</w:t>
      </w:r>
      <w:r>
        <w:rPr>
          <w:rFonts w:ascii="Times New Roman" w:hAnsi="Times New Roman"/>
        </w:rPr>
        <w:t xml:space="preserve"> Hakija ei saa olla saavuttanut Euroopan unionin henkilöstösääntöjen mukaista eläkeikää. Sääntöjen mukaan unionin virkamies saavuttaa eläkeiän sen kuukauden päättyessä, jonka aikana hän täyttää 66 vuotta (ks. henkilöstösääntöjen</w:t>
      </w:r>
      <w:r>
        <w:rPr>
          <w:rStyle w:val="FootnoteReference"/>
          <w:rFonts w:ascii="Times New Roman" w:hAnsi="Times New Roman" w:cs="Times New Roman"/>
          <w:b/>
        </w:rPr>
        <w:footnoteReference w:id="4"/>
      </w:r>
      <w:r>
        <w:rPr>
          <w:rFonts w:ascii="Times New Roman" w:hAnsi="Times New Roman"/>
        </w:rPr>
        <w:t xml:space="preserve"> 52 artiklan a alakohta).</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Valinta ja nimittäminen</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Valinta ja nimittäminen tapahtuu Euroopan komission valinta- ja palvelukseenottomenettelyjen mukaisesti (ks. asiakirja ”Compilation Document on Senior Officials Policy”</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Euroopan komissio perustaa valintamenettelyn osana esivalintalautakunnan. Lautakunta arvioi kaikki hakemukset, tarkastaa kelpoisuusvaatimusten täyttymisen ja valitsee sitten ne hakijat, joiden profiilit vastaavat parhaiten edellä mainittuja valintaperusteita ja jotka voidaan kutsua sen haastateltaviksi.</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Haastattelujen jälkeen esivalintalautakunta tekee päätelmänsä ja laatii luettelon hakijoista, jotka voidaan kutsua Euroopan komission neuvoa-antavan nimityskomitean jatkohaastatteluun. Nimityskomitea päättää esivalintalautakunnan päätelmät huomioon ottaen, ketkä hakijoista kutsutaan haastatteluun.</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Neuvoa-antavan nimityskomitean haastateltaviksi kutsutut hakijat osallistuvat koko päivän kestävään, ulkopuolisten rekrytointikonsulttien toteuttamaan johtamistaitojen arviointiin. Haastattelun ja arvioinnin tulosten perusteella neuvoa-antava nimityskomitea laatii luettelon hakijoista, joiden se katsoo soveltuvan toimeen.</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Yksi tai useampi asianomainen komission jäsen haastattelee neuvoa-antavan nimityskomitean laatimassa luettelossa olevat hakijat.</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Näiden haastattelujen jälkeen Euroopan komissio tekee nimityspäätöksen.</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Tehtävään valitun henkilön on pitänyt täyttää asevelvollisuuslain mukaiset velvollisuutensa. Hakijan on myös osoitettava, että hän täyttää tehtävien hoitamisen edellyttämät hyvää mainetta koskevat vaatimukset ja että hänellä on terveydelliset edellytykset tehtävien hoitamiseen.</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Hänellä on oltava tai hänen on kyettävä hankkimaan voimassa oleva henkilöturvallisuusselvitykseen perustuva todistus kansalliselta turvallisuusviranomaiselta. Henkilöturvallisuusselvitys on hallinnollinen päätös, jonka perustana on toimivaltaisen kansallisen turvallisuusviranomaisen tekemä kansallisten lakien ja muiden säännösten mukainen turvallisuusselvitys. Sillä todistetaan, että henkilölle voidaan antaa oikeus tutustua tietyntasoisiin turvallisuusluokiteltuihin tietoihin. (Henkilöturvallisuusselvitystä koskeva menettely voidaan aloittaa ainoastaan työnantajan, ei yksittäisen hakijan pyynnöstä.)</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EU:n turvallisuusluokiteltuihin tietoihin pääseminen vähintään tasolla CONFIDENTIEL UE/EU CONFIDENTIAL ja osallistuminen kokouksiin, joissa tällaisia tietoja käsitellään, edellyttää, että hakijalla on asianomaisen jäsenvaltion myöntämä henkilöturvallisuusselvitys. Lisäksi vaaditaan, että turvallisuusselvitysmenettely on saatettu päätökseen ja hakija on saanut Euroopan komission turvallisuusyksikön antaman asiaankuuluvan ohjeistuksen.</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Yhtäläiset mahdollisuudet</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Henkilöstösääntöjen 1 d artiklan mukaisesti komission strategisena tavoitteena on saavuttaa sukupuolten tasa-arvo kaikilla hallinnon tasoilla nykyisen toimikauden loppuun mennessä. Se soveltaa tasa-arvopolitiikkaa ja kannustaa sellaisia henkilöitä hakemaan toimiin, jotka voivat omalta osaltaan edistää monimuotoisuutta, sukupuolten tasa-arvoa ja maantieteellisen edustuksen tasapainoa.</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Työsuhteen ehdot</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Palkkaus ja palvelussuhteen ehdot määräytyvät henkilöstösääntöjen mukaan.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Valittu henkilö otetaan virkamieheksi AD-tehtäväryhmän palkkaluokkaan 14. Hänet luokitellaan aiemman työkokemuksensa perusteella palkkaluokan palkkatasolle 1 tai 2.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Valitun hakijan tulee ottaa huomioon, että henkilöstösääntöjen mukaan kaikkien uusien virkamiesten on suoritettava hyväksyttävästi yhdeksän kuukauden pituinen koeaika.</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Työpaikka sijaitsee Luxemburgissa.</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Riippumattomuus ja sidonnaisuuksia koskeva ilmoitus</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Kunkin esivalinnan läpäisseen hakijan on valintaprosessin aikana annettava vakuutus siitä, että hän sitoutuu toimimaan riippumattomasti ja yleisen edun hyväksi. Hänen on myös ilmoitettava sidonnaisuuksista, joiden voidaan katsoa heikentävän hänen riippumattomuuttaan.</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4B15EA2B" w14:textId="77777777" w:rsidR="00D954D9" w:rsidRDefault="00D954D9" w:rsidP="00AF21B0">
      <w:pPr>
        <w:spacing w:after="240" w:line="240" w:lineRule="auto"/>
        <w:jc w:val="both"/>
        <w:rPr>
          <w:rFonts w:ascii="Times New Roman" w:hAnsi="Times New Roman"/>
          <w:b/>
        </w:rPr>
      </w:pPr>
    </w:p>
    <w:p w14:paraId="25AEF488" w14:textId="1CA04223"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lastRenderedPageBreak/>
        <w:t>Tärkeää tietoa hakijoille</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Hakijoita muistutetaan siitä, että valintalautakuntien työ on luottamuksellista. Hakijat eivät tämän vuoksi saa itse tai toisen henkilön välityksellä olla suoraan tai epäsuorasti yhteydessä valintalautakuntien jäseniin. Kaikki kyselyt on osoitettava asiaa käsittelevän lautakunnan sihteeristölle.</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Henkilötietojen suoja</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Euroopan komissio huolehtii siitä, että hakijoiden henkilötietojen käsittelyssä noudatetaan Euroopan parlamentin ja neuvoston asetusta (EU) 2018/1725</w:t>
      </w:r>
      <w:r>
        <w:rPr>
          <w:rStyle w:val="FootnoteReference"/>
          <w:rFonts w:ascii="Times New Roman" w:hAnsi="Times New Roman" w:cs="Times New Roman"/>
        </w:rPr>
        <w:footnoteReference w:id="6"/>
      </w:r>
      <w:r>
        <w:rPr>
          <w:rFonts w:ascii="Times New Roman" w:hAnsi="Times New Roman"/>
        </w:rPr>
        <w:t>. Erityistä huomiota kiinnitetään tietojen luottamuksellisuuteen ja tietosuojaan.</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Hakumenettely</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Hakijan on ennen hakemuksensa jättämistä varmistettava, että hän täyttää kaikki hakuedellytykset (”Mitä edellytämme”) ja erityisesti tutkintoa, korkean tason työkokemusta ja kielitaitoa koskevat vaatimukset. Jos jokin edellytyksistä ei täyty, hakemus hylätään automaattisesti.</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Hakijan on rekisteröidyttävä seuraavalla verkkosivustolla ja noudatettava menettelyn eri vaiheista annettuja ohjeita: </w:t>
      </w:r>
    </w:p>
    <w:p w14:paraId="77DF5B81" w14:textId="77777777" w:rsidR="001F08A9" w:rsidRPr="007915CB" w:rsidRDefault="00D954D9"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https://ec.europa.eu/dgs/human-resources/seniormanagementvacancies/CV_Encadext/index.cfm?fuseaction=premierAcces&amp;langue=EN</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Hakijalla on oltava voimassa oleva sähköpostiosoite. Sitä käytetään sekä rekisteröitymisen vahvistamiseen että yhteydenpitoon hakijan kanssa menettelyn aikana. Sähköpostiosoitteen muutoksista on siksi ilmoitettava Euroopan komissiolle.</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Hakijan on liitettävä hakemukseensa ansioluettelo pdf-muodossa, mieluiten Europass-ansioluettelomallia</w:t>
      </w:r>
      <w:r>
        <w:rPr>
          <w:rStyle w:val="FootnoteReference"/>
          <w:rFonts w:ascii="Times New Roman" w:hAnsi="Times New Roman" w:cs="Times New Roman"/>
        </w:rPr>
        <w:footnoteReference w:id="7"/>
      </w:r>
      <w:r>
        <w:rPr>
          <w:rFonts w:ascii="Times New Roman" w:hAnsi="Times New Roman"/>
        </w:rPr>
        <w:t xml:space="preserve"> käyttäen, ja laadittava verkossa vapaamuotoinen hakemuskirje (enintään 8 000 merkkiä). Ansioluettelo ja vapaamuotoinen hakemuskirje voidaan toimittaa millä tahansa Euroopan unionin virallisella kielellä.</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On hakijan oman edun mukaista varmistaa, että hakemus on täsmällinen, perusteellinen ja totuudenmukainen.</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Kun hakija on lähettänyt sähköisen rekisteröitymislomakkeen, hän saa sähköpostiviestin, jossa vahvistetaan, että hakemus on rekisteröity. </w:t>
      </w:r>
      <w:r>
        <w:rPr>
          <w:rFonts w:ascii="Times New Roman" w:hAnsi="Times New Roman"/>
          <w:b/>
        </w:rPr>
        <w:t>Jos hakija ei saa vahvistusviestiä, hakemus ei ole rekisteröitynyt!</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Hakuprosessin etenemistä ei ole mahdollista seurata verkossa. Euroopan komissio ottaa suoraan yhteyttä hakijaan hakemuksen käsittelyyn liittyvissä asioissa.</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lastRenderedPageBreak/>
        <w:t xml:space="preserve">Sähköpostitse lähetettyjä hakemuksia ei hyväksytä. </w:t>
      </w:r>
      <w:r>
        <w:rPr>
          <w:rFonts w:ascii="Times New Roman" w:hAnsi="Times New Roman"/>
        </w:rPr>
        <w:t xml:space="preserve">Lisätietoja ja/tai apua teknisiin ongelmiin voi pyytää sähköpostitse osoitteesta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Sähköinen rekisteröityminen on syytä tehdä hyvissä ajoin ennen määräajan päättymistä. Hakemista ei kannata jättää hakuajan viimeisiin päiviin, sillä rekisteröityminen ei verkkoliikenteen ruuhkien tai internetyhteyden katkosten takia välttämättä onnistu ensi yrittämällä. Tietojen syöttäminen ei ole mahdollista sen jälkeen, kun rekisteröitymisen määräaika on päättynyt. Rekisteröitymistä määräajan jälkeen ei oteta huomioon.</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Rekisteröitymisen määräaika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Rekisteröityminen päättyy </w:t>
      </w:r>
      <w:r>
        <w:rPr>
          <w:rFonts w:ascii="Times New Roman" w:hAnsi="Times New Roman"/>
          <w:b/>
        </w:rPr>
        <w:t>27.11.2023 klo 12.00 Belgian aikaa</w:t>
      </w:r>
      <w:r>
        <w:rPr>
          <w:rFonts w:ascii="Times New Roman" w:hAnsi="Times New Roman"/>
        </w:rPr>
        <w:t>, jonka jälkeen rekisteröityminen ei ole enää mahdollista.</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Työkokemus otetaan huomioon vain, jos se edustaa todellista työsuhdetta, jossa on kyse tosiasiallisesta työnteosta palkattuna työntekijänä (mikä tahansa työsopimus) tai palvelun tarjoajana. Osa-aikatyö otetaan huomioon kokoaikatyöksi muunnettuna. Äitiys-/vanhempain-/adoptiovapaa otetaan huomioon, jos se on pidetty työsopimuksen puitteissa. Tohtorinopinnot rinnastetaan työkokemukseen myös siinä tapauksessa, että niistä ei ole maksettu korvausta, enintään kolmen vuoden ajalta, edellyttäen että tohtorintutkinto on suoritettu hyväksytysti. Tietty ajanjakso voidaan ottaa huomioon vain kerran.</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Hakijan on ilmoitettava ansioluettelossaan selvästi seuraavat tiedot kaikilta niiltä vuosilta, jotka hän on toiminut johtotehtävissä: 1) johtotehtävien nimike ja tehtävänkuvaus, 2) alaisten määrä, 3) tehtävässä hallinnoitujen varojen suuruusluokka, 4) ylempien ja alempien organisaatiotasojen määrä sekä 5) samantasoisessa tehtävässä toimineiden henkilöiden määrä.</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D954D9">
          <w:rPr>
            <w:rStyle w:val="Hyperlink"/>
            <w:rFonts w:ascii="Times New Roman" w:hAnsi="Times New Roman"/>
            <w:sz w:val="16"/>
          </w:rPr>
          <w:t>http://eur-lex.europa.eu/legal-content/FI/TXT/PDF/?uri=CELEX:01958R0001-20130701&amp;qid=1408533709461&amp;from=FI</w:t>
        </w:r>
      </w:hyperlink>
      <w:hyperlink r:id="rId2" w:history="1">
        <w:r>
          <w:rPr>
            <w:rStyle w:val="Hyperlink"/>
            <w:rFonts w:ascii="Times New Roman" w:hAnsi="Times New Roman"/>
            <w:sz w:val="16"/>
          </w:rPr>
          <w:t>https://eur-lex.europa.eu/legal-content/FI/TXT/?uri=CELEX:01958R0001-20130701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https://eur-lex.europa.eu/legal-content/FI/TXT/?uri=CELEX%3A01962R0031-20140701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r>
          <w:rPr>
            <w:rStyle w:val="Hyperlink"/>
            <w:rFonts w:ascii="Times New Roman" w:hAnsi="Times New Roman"/>
            <w:sz w:val="16"/>
          </w:rPr>
          <w:t>https://commission.europa.eu/jobs-european-commission/job-opportunities/managers-european-commission_en#vacancies</w:t>
        </w:r>
      </w:hyperlink>
      <w:r>
        <w:t xml:space="preserve"> </w:t>
      </w:r>
      <w:r>
        <w:rPr>
          <w:rFonts w:ascii="Times New Roman" w:hAnsi="Times New Roman"/>
          <w:sz w:val="16"/>
        </w:rPr>
        <w:t>(saatavilla vain englanniksi).</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Euroopan parlamentin ja neuvoston asetus (EU) 2018/1725, annettu 23 päivänä lokakuuta 2018, luonnollisten henkilöiden suojelusta unionin toimielinten, elinten ja laitosten suorittamassa henkilötietojen käsittelyssä ja näiden tietojen vapaasta liikkuvuudesta sekä asetuksen (EY) N:o 45/2001 ja päätöksen N:o 1247/2002/EY kumoamisesta (EUVL L 295, 21.11.2018, s.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Lisätietoja Europass-ansioluettelon luomisesta verkossa on osoitteessa </w:t>
      </w:r>
      <w:hyperlink r:id="rId5" w:history="1">
        <w:r>
          <w:rPr>
            <w:rStyle w:val="Hyperlink"/>
            <w:rFonts w:ascii="Times New Roman" w:hAnsi="Times New Roman"/>
            <w:sz w:val="18"/>
          </w:rPr>
          <w:t>https://europa.eu/europass/fi/create-europass-cv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954D9"/>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CV_Encadext/index.cfm?fuseaction=premierAcces&amp;langue=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FI/TXT/?uri=CELEX%3A01962R0031-20140701" TargetMode="External"/><Relationship Id="rId2" Type="http://schemas.openxmlformats.org/officeDocument/2006/relationships/hyperlink" Target="https://eur-lex.europa.eu/legal-content/FI/TXT/?uri=CELEX:01958R0001-20130701" TargetMode="External"/><Relationship Id="rId1" Type="http://schemas.openxmlformats.org/officeDocument/2006/relationships/hyperlink" Target="http://eur-lex.europa.eu/legal-content/FI/TXT/PDF/?uri=CELEX:01958R0001-20130701&amp;qid=1408533709461&amp;from=FI" TargetMode="External"/><Relationship Id="rId5" Type="http://schemas.openxmlformats.org/officeDocument/2006/relationships/hyperlink" Target="https://europa.eu/europass/fi/create-europass-cv" TargetMode="External"/><Relationship Id="rId4" Type="http://schemas.openxmlformats.org/officeDocument/2006/relationships/hyperlink" Target="https://commission.europa.eu/jobs-european-commission/job-opportunities/managers-european-commission_fi%23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Props1.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3.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4.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1456</Words>
  <Characters>12891</Characters>
  <Application>Microsoft Office Word</Application>
  <DocSecurity>0</DocSecurity>
  <Lines>211</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BASDEKIS Maria (DGT)</cp:lastModifiedBy>
  <cp:revision>3</cp:revision>
  <cp:lastPrinted>2018-05-18T08:34:00Z</cp:lastPrinted>
  <dcterms:created xsi:type="dcterms:W3CDTF">2023-10-16T08:33:00Z</dcterms:created>
  <dcterms:modified xsi:type="dcterms:W3CDTF">2023-10-17T12:12:00Z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